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4151" w:rsidRDefault="002F4151">
      <w:bookmarkStart w:id="0" w:name="_GoBack"/>
      <w:bookmarkEnd w:id="0"/>
    </w:p>
    <w:p w:rsidR="002F4151" w:rsidRDefault="002F4151"/>
    <w:p w:rsidR="002F4151" w:rsidRDefault="006E510E">
      <w:pPr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TEHNIČKA ŠKOLA I PRIRODOSLOVNA GIMNAZIJA RUĐERA BOŠKOVIĆA</w:t>
      </w:r>
    </w:p>
    <w:p w:rsidR="002F4151" w:rsidRDefault="006E510E">
      <w:pPr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Vukovarska cesta 209</w:t>
      </w:r>
    </w:p>
    <w:p w:rsidR="002F4151" w:rsidRDefault="006E510E">
      <w:pPr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Osijek</w:t>
      </w:r>
    </w:p>
    <w:p w:rsidR="002F4151" w:rsidRDefault="00E630C1">
      <w:pPr>
        <w:rPr>
          <w:rFonts w:eastAsia="Times New Roman"/>
          <w:b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07C85C" wp14:editId="6B9E46D6">
            <wp:simplePos x="0" y="0"/>
            <wp:positionH relativeFrom="column">
              <wp:posOffset>5577205</wp:posOffset>
            </wp:positionH>
            <wp:positionV relativeFrom="paragraph">
              <wp:posOffset>80645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10E">
        <w:rPr>
          <w:rFonts w:eastAsia="Times New Roman"/>
          <w:b/>
          <w:szCs w:val="22"/>
          <w:lang w:eastAsia="en-US"/>
        </w:rPr>
        <w:t>OIB: 43890802516</w:t>
      </w:r>
    </w:p>
    <w:p w:rsidR="002F4151" w:rsidRDefault="002F4151">
      <w:pPr>
        <w:rPr>
          <w:rFonts w:eastAsia="Times New Roman"/>
          <w:b/>
          <w:szCs w:val="22"/>
          <w:lang w:eastAsia="en-US"/>
        </w:rPr>
      </w:pPr>
    </w:p>
    <w:p w:rsidR="002F4151" w:rsidRDefault="006E510E">
      <w:pPr>
        <w:ind w:right="-567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KLASA: </w:t>
      </w:r>
      <w:r>
        <w:rPr>
          <w:rFonts w:asciiTheme="minorHAnsi" w:hAnsiTheme="minorHAnsi" w:cstheme="minorHAnsi"/>
          <w:noProof/>
          <w:szCs w:val="24"/>
          <w:lang w:val="en-US"/>
        </w:rPr>
        <w:t>400-02/26-01/1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2F4151" w:rsidRDefault="006E510E">
      <w:pPr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URBROJ: </w:t>
      </w:r>
      <w:r>
        <w:rPr>
          <w:rFonts w:asciiTheme="minorHAnsi" w:eastAsiaTheme="minorHAnsi" w:hAnsiTheme="minorHAnsi" w:cstheme="minorHAnsi"/>
          <w:noProof/>
          <w:szCs w:val="24"/>
          <w:lang w:eastAsia="en-US"/>
        </w:rPr>
        <w:t>2158-143-26-2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                                             </w:t>
      </w:r>
    </w:p>
    <w:p w:rsidR="002F4151" w:rsidRDefault="006E510E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                         </w:t>
      </w:r>
    </w:p>
    <w:p w:rsidR="002F4151" w:rsidRDefault="002F4151">
      <w:pPr>
        <w:rPr>
          <w:rFonts w:eastAsia="Times New Roman"/>
          <w:b/>
          <w:szCs w:val="22"/>
          <w:lang w:eastAsia="en-US"/>
        </w:rPr>
      </w:pPr>
    </w:p>
    <w:p w:rsidR="002F4151" w:rsidRDefault="002F4151">
      <w:pPr>
        <w:rPr>
          <w:rFonts w:eastAsia="Times New Roman"/>
          <w:b/>
          <w:szCs w:val="22"/>
          <w:lang w:eastAsia="en-US"/>
        </w:rPr>
      </w:pPr>
    </w:p>
    <w:p w:rsidR="002F4151" w:rsidRDefault="006E510E">
      <w:pPr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Na temelju članka 86. Zakona o proračunu (NN 144/21), članka 52. Pravilnika o polugodišnjem i godišnjem izvještaju o izvršenju proračuna i financijskog plana (NN 85/23) te članka 54. Statuta Tehničke  škole i prirodoslovne gimnazije Ruđera Boškovića, ravnateljica podnosi</w:t>
      </w:r>
    </w:p>
    <w:p w:rsidR="002F4151" w:rsidRDefault="002F4151"/>
    <w:p w:rsidR="002F4151" w:rsidRDefault="002F415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F4151">
        <w:trPr>
          <w:trHeight w:val="330"/>
        </w:trPr>
        <w:tc>
          <w:tcPr>
            <w:tcW w:w="10035" w:type="dxa"/>
            <w:shd w:val="clear" w:color="auto" w:fill="auto"/>
          </w:tcPr>
          <w:p w:rsidR="002F4151" w:rsidRDefault="006E510E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GODIŠNJI IZVJEŠTAJ O IZVRŠENJU FINANCIJSKOG PLANA ZA 2025. GODINU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F4151">
        <w:trPr>
          <w:trHeight w:val="270"/>
        </w:trPr>
        <w:tc>
          <w:tcPr>
            <w:tcW w:w="10035" w:type="dxa"/>
            <w:shd w:val="clear" w:color="auto" w:fill="auto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 OPĆI DIO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240" w:lineRule="exact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F4151">
        <w:trPr>
          <w:trHeight w:val="285"/>
        </w:trPr>
        <w:tc>
          <w:tcPr>
            <w:tcW w:w="9356" w:type="dxa"/>
            <w:shd w:val="clear" w:color="auto" w:fill="auto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345" w:lineRule="exact"/>
      </w:pPr>
    </w:p>
    <w:tbl>
      <w:tblPr>
        <w:tblW w:w="1004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877"/>
        <w:gridCol w:w="1485"/>
        <w:gridCol w:w="1485"/>
        <w:gridCol w:w="1470"/>
        <w:gridCol w:w="855"/>
        <w:gridCol w:w="840"/>
        <w:gridCol w:w="23"/>
      </w:tblGrid>
      <w:tr w:rsidR="002F4151">
        <w:trPr>
          <w:gridBefore w:val="1"/>
          <w:wBefore w:w="8" w:type="dxa"/>
          <w:trHeight w:val="255"/>
        </w:trPr>
        <w:tc>
          <w:tcPr>
            <w:tcW w:w="10035" w:type="dxa"/>
            <w:gridSpan w:val="7"/>
            <w:shd w:val="clear" w:color="auto" w:fill="auto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  <w:tr w:rsidR="002F4151">
        <w:trPr>
          <w:gridAfter w:val="1"/>
          <w:wAfter w:w="23" w:type="dxa"/>
          <w:trHeight w:val="720"/>
        </w:trPr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F4151">
        <w:trPr>
          <w:gridAfter w:val="1"/>
          <w:wAfter w:w="23" w:type="dxa"/>
          <w:trHeight w:val="285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F4151">
        <w:trPr>
          <w:gridAfter w:val="1"/>
          <w:wAfter w:w="23" w:type="dxa"/>
          <w:trHeight w:val="480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1.975.287,27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2.346.655,00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2.147.253,52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108,71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91,50</w:t>
            </w:r>
          </w:p>
        </w:tc>
      </w:tr>
      <w:tr w:rsidR="002F4151">
        <w:trPr>
          <w:gridAfter w:val="1"/>
          <w:wAfter w:w="23" w:type="dxa"/>
          <w:trHeight w:val="495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1.975.284,27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2.268.731,00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2.069.329,52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104,76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91,21</w:t>
            </w:r>
          </w:p>
        </w:tc>
      </w:tr>
      <w:tr w:rsidR="002F4151">
        <w:trPr>
          <w:gridAfter w:val="1"/>
          <w:wAfter w:w="23" w:type="dxa"/>
          <w:trHeight w:val="480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100,00</w:t>
            </w:r>
          </w:p>
        </w:tc>
      </w:tr>
      <w:tr w:rsidR="002F4151">
        <w:trPr>
          <w:gridAfter w:val="1"/>
          <w:wAfter w:w="23" w:type="dxa"/>
          <w:trHeight w:val="480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1.990.723,36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2.372.447,00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2.307.989,94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115,94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97,28</w:t>
            </w:r>
          </w:p>
        </w:tc>
      </w:tr>
      <w:tr w:rsidR="002F4151">
        <w:trPr>
          <w:gridAfter w:val="1"/>
          <w:wAfter w:w="23" w:type="dxa"/>
          <w:trHeight w:val="495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1.953.729,00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2.356.592,00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2.296.237,74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117,53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97,44</w:t>
            </w:r>
          </w:p>
        </w:tc>
      </w:tr>
      <w:tr w:rsidR="002F4151">
        <w:trPr>
          <w:gridAfter w:val="1"/>
          <w:wAfter w:w="23" w:type="dxa"/>
          <w:trHeight w:val="480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36.994,36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15.855,00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11.752,20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31,77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74,12</w:t>
            </w:r>
          </w:p>
        </w:tc>
      </w:tr>
      <w:tr w:rsidR="002F4151">
        <w:trPr>
          <w:gridAfter w:val="1"/>
          <w:wAfter w:w="23" w:type="dxa"/>
          <w:trHeight w:val="495"/>
        </w:trPr>
        <w:tc>
          <w:tcPr>
            <w:tcW w:w="3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- 15.439,09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- 25.792,00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-160.736,42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9"/>
              <w:ind w:left="0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F4151">
        <w:trPr>
          <w:trHeight w:val="255"/>
        </w:trPr>
        <w:tc>
          <w:tcPr>
            <w:tcW w:w="10035" w:type="dxa"/>
            <w:shd w:val="clear" w:color="auto" w:fill="auto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F4151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F4151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F4151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2F4151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2F4151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345" w:lineRule="exact"/>
      </w:pPr>
    </w:p>
    <w:p w:rsidR="002F4151" w:rsidRDefault="002F4151">
      <w:pPr>
        <w:spacing w:line="345" w:lineRule="exact"/>
      </w:pPr>
    </w:p>
    <w:p w:rsidR="002F4151" w:rsidRDefault="002F4151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F4151">
        <w:trPr>
          <w:trHeight w:val="255"/>
        </w:trPr>
        <w:tc>
          <w:tcPr>
            <w:tcW w:w="10035" w:type="dxa"/>
            <w:shd w:val="clear" w:color="auto" w:fill="auto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F4151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F4151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F4151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41.231,13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25.792,00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25.792,04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62,55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100</w:t>
            </w:r>
          </w:p>
        </w:tc>
      </w:tr>
      <w:tr w:rsidR="002F4151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15.439,09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25.792,00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25.792,04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167,06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</w:t>
            </w:r>
          </w:p>
        </w:tc>
      </w:tr>
    </w:tbl>
    <w:p w:rsidR="002F4151" w:rsidRDefault="002F4151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F4151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25.792,04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0,00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-134.944,38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523,20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9"/>
              <w:rPr>
                <w:rStyle w:val="CharacterStyle19"/>
              </w:rPr>
            </w:pPr>
            <w:r>
              <w:rPr>
                <w:rStyle w:val="CharacterStyle19"/>
              </w:rPr>
              <w:t>0,00</w:t>
            </w:r>
          </w:p>
        </w:tc>
      </w:tr>
    </w:tbl>
    <w:p w:rsidR="002F4151" w:rsidRDefault="002F4151"/>
    <w:p w:rsidR="002F4151" w:rsidRDefault="006E510E">
      <w:pPr>
        <w:pStyle w:val="ParagraphStyle20"/>
        <w:rPr>
          <w:rStyle w:val="CharacterStyle20"/>
        </w:rPr>
      </w:pPr>
      <w:r>
        <w:rPr>
          <w:rStyle w:val="CharacterStyle20"/>
        </w:rPr>
        <w:t>Napomena:</w:t>
      </w:r>
      <w:r>
        <w:rPr>
          <w:rStyle w:val="CharacterStyle20"/>
        </w:rPr>
        <w:br/>
      </w:r>
      <w:r>
        <w:rPr>
          <w:rStyle w:val="CharacterStyle20"/>
        </w:rPr>
        <w:br/>
        <w:t>* Redak UKUPAN DONOS VIŠKA / MANJKA IZ PRETHODNIH GODINA služi kao informacija i ne uzima se u obzir kod uravnoteženja proračuna, već se proračun uravnotežuje retkom VIŠAK / MANJAK IZ PRETHODNIH GODINA KOJI ĆE SE POKRITI / RASPOREDITI.</w:t>
      </w:r>
    </w:p>
    <w:tbl>
      <w:tblPr>
        <w:tblW w:w="10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361"/>
      </w:tblGrid>
      <w:tr w:rsidR="002F4151">
        <w:trPr>
          <w:gridAfter w:val="1"/>
          <w:wAfter w:w="1361" w:type="dxa"/>
          <w:trHeight w:val="1065"/>
        </w:trPr>
        <w:tc>
          <w:tcPr>
            <w:tcW w:w="9214" w:type="dxa"/>
            <w:shd w:val="clear" w:color="auto" w:fill="auto"/>
          </w:tcPr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  <w:p w:rsidR="002F4151" w:rsidRDefault="006E510E">
            <w:pPr>
              <w:pStyle w:val="ParagraphStyle20"/>
              <w:ind w:left="0" w:right="0"/>
              <w:rPr>
                <w:rStyle w:val="CharacterStyle20"/>
              </w:rPr>
            </w:pPr>
            <w:r>
              <w:rPr>
                <w:rStyle w:val="CharacterStyle20"/>
              </w:rPr>
              <w:t xml:space="preserve">                                                                         </w:t>
            </w:r>
          </w:p>
          <w:p w:rsidR="002F4151" w:rsidRDefault="006E510E">
            <w:pPr>
              <w:pStyle w:val="ParagraphStyle20"/>
              <w:ind w:left="0" w:right="0"/>
              <w:rPr>
                <w:rStyle w:val="CharacterStyle20"/>
              </w:rPr>
            </w:pPr>
            <w:r>
              <w:rPr>
                <w:rStyle w:val="CharacterStyle20"/>
              </w:rPr>
              <w:t xml:space="preserve">                                                                         </w:t>
            </w:r>
          </w:p>
          <w:p w:rsidR="002F4151" w:rsidRDefault="006E510E">
            <w:pPr>
              <w:pStyle w:val="ParagraphStyle20"/>
              <w:ind w:left="0" w:right="0"/>
              <w:rPr>
                <w:rStyle w:val="CharacterStyle20"/>
                <w:sz w:val="20"/>
                <w:szCs w:val="20"/>
              </w:rPr>
            </w:pPr>
            <w:r>
              <w:rPr>
                <w:rStyle w:val="CharacterStyle20"/>
              </w:rPr>
              <w:t xml:space="preserve">                                                                                         </w:t>
            </w:r>
            <w:r>
              <w:rPr>
                <w:rStyle w:val="CharacterStyle20"/>
                <w:sz w:val="20"/>
                <w:szCs w:val="20"/>
              </w:rPr>
              <w:t>OPĆI DIO PRORAČUNA</w:t>
            </w:r>
          </w:p>
          <w:p w:rsidR="002F4151" w:rsidRDefault="002F4151">
            <w:pPr>
              <w:pStyle w:val="ParagraphStyle20"/>
              <w:ind w:left="0" w:right="0"/>
              <w:rPr>
                <w:rStyle w:val="CharacterStyle20"/>
              </w:rPr>
            </w:pPr>
          </w:p>
        </w:tc>
      </w:tr>
      <w:tr w:rsidR="002F4151">
        <w:trPr>
          <w:trHeight w:val="435"/>
        </w:trPr>
        <w:tc>
          <w:tcPr>
            <w:tcW w:w="10575" w:type="dxa"/>
            <w:gridSpan w:val="2"/>
            <w:shd w:val="clear" w:color="auto" w:fill="auto"/>
          </w:tcPr>
          <w:p w:rsidR="002F4151" w:rsidRDefault="006E510E">
            <w:pPr>
              <w:pStyle w:val="ParagraphStyle0"/>
              <w:ind w:left="0" w:right="0"/>
              <w:rPr>
                <w:rStyle w:val="CharacterStyle0"/>
              </w:rPr>
            </w:pPr>
            <w:r>
              <w:rPr>
                <w:rStyle w:val="CharacterStyle0"/>
              </w:rPr>
              <w:lastRenderedPageBreak/>
              <w:t>1.2. RAČUN PRIHODA I RASHODA</w:t>
            </w:r>
          </w:p>
        </w:tc>
      </w:tr>
    </w:tbl>
    <w:p w:rsidR="002F4151" w:rsidRDefault="002F4151">
      <w:pPr>
        <w:spacing w:line="255" w:lineRule="exact"/>
      </w:pPr>
    </w:p>
    <w:tbl>
      <w:tblPr>
        <w:tblW w:w="1057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332"/>
        <w:gridCol w:w="1725"/>
        <w:gridCol w:w="1463"/>
        <w:gridCol w:w="2017"/>
        <w:gridCol w:w="795"/>
        <w:gridCol w:w="675"/>
      </w:tblGrid>
      <w:tr w:rsidR="002F4151">
        <w:trPr>
          <w:trHeight w:val="270"/>
        </w:trPr>
        <w:tc>
          <w:tcPr>
            <w:tcW w:w="10578" w:type="dxa"/>
            <w:gridSpan w:val="7"/>
            <w:shd w:val="clear" w:color="auto" w:fill="auto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1.2.1. IZVJEŠTAJ O PRIHODIMA I RASHODIMA PREMA EKONOMSKOJ KLASIFIKACIJI</w:t>
            </w:r>
          </w:p>
        </w:tc>
      </w:tr>
      <w:tr w:rsidR="002F4151">
        <w:trPr>
          <w:trHeight w:val="645"/>
        </w:trPr>
        <w:tc>
          <w:tcPr>
            <w:tcW w:w="3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F4151">
        <w:trPr>
          <w:trHeight w:val="195"/>
        </w:trPr>
        <w:tc>
          <w:tcPr>
            <w:tcW w:w="39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6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20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1.975.284,27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2.346.655,00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2.147.253,52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91,50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1.975.284,27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2.268.731,00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2.069.329,52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104,76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91,21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1.749.548,30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1.999.922,00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1.804.520,87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103,14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90,23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od međunarodnih organizacija te institucija i tijela EU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3.416,00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 xml:space="preserve">        6.865,98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200,99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6323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od institucija i tijela EU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3.416,00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6.865,98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200,99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1.700.074,10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1.797.654,89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105,74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1.699.159,35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1.797.054,89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105,76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914,75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temeljem prijenosa EU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45.058,20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temeljem prijenosa EU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29.060,20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pomoći temeljem prijenosa EU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16.998,00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2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64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8"/>
              <w:rPr>
                <w:rStyle w:val="CharacterStyle8"/>
              </w:rPr>
            </w:pPr>
          </w:p>
        </w:tc>
      </w:tr>
      <w:tr w:rsidR="002F4151">
        <w:trPr>
          <w:trHeight w:val="64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4.400,00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4.500,00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4.500,00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102,27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4,400,00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102,27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4.400,00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4.500,00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102,27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24.952,52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21.560,00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21.054,48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84,38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97,86</w:t>
            </w: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20.292,52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17.109,99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6614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662,00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20.292,52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16.447,99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81,05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4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4.660,00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3.944,49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84,65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4,66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3.390,00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72,75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6632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554,49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51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196.383,45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242.749,00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239.254,17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121,83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98,56</w:t>
            </w: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196.383,45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239.415,42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121.83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182.543,68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236.415,42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129.51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13.839,77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2.838,75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20.51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6"/>
              </w:rPr>
            </w:pPr>
            <w:r>
              <w:rPr>
                <w:rStyle w:val="CharacterStyle6"/>
              </w:rPr>
              <w:t>7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7"/>
                <w:b w:val="0"/>
              </w:rPr>
            </w:pPr>
            <w:r>
              <w:rPr>
                <w:rStyle w:val="CharacterStyle7"/>
                <w:b w:val="0"/>
              </w:rPr>
              <w:t>Prihodi od prodaje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77.924,00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77.924,00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100</w:t>
            </w: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6"/>
              </w:rPr>
            </w:pPr>
            <w:r>
              <w:rPr>
                <w:rStyle w:val="CharacterStyle6"/>
              </w:rPr>
              <w:t>72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7"/>
                <w:b w:val="0"/>
              </w:rPr>
            </w:pPr>
            <w:r>
              <w:rPr>
                <w:rStyle w:val="CharacterStyle7"/>
                <w:b w:val="0"/>
              </w:rPr>
              <w:t>Prihodi od prodaje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77.924,00</w:t>
            </w: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77.924,00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100</w:t>
            </w: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građevinskih objekata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trHeight w:val="6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7211</w:t>
            </w:r>
          </w:p>
        </w:tc>
        <w:tc>
          <w:tcPr>
            <w:tcW w:w="3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Stambeni objekti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2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</w:tbl>
    <w:p w:rsidR="002F4151" w:rsidRDefault="002F4151"/>
    <w:tbl>
      <w:tblPr>
        <w:tblW w:w="1058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64"/>
        <w:gridCol w:w="6"/>
        <w:gridCol w:w="3324"/>
        <w:gridCol w:w="6"/>
        <w:gridCol w:w="1719"/>
        <w:gridCol w:w="6"/>
        <w:gridCol w:w="1734"/>
        <w:gridCol w:w="6"/>
        <w:gridCol w:w="1734"/>
        <w:gridCol w:w="6"/>
        <w:gridCol w:w="789"/>
        <w:gridCol w:w="6"/>
        <w:gridCol w:w="669"/>
        <w:gridCol w:w="6"/>
      </w:tblGrid>
      <w:tr w:rsidR="002F4151">
        <w:trPr>
          <w:gridBefore w:val="1"/>
          <w:wBefore w:w="6" w:type="dxa"/>
          <w:trHeight w:val="645"/>
        </w:trPr>
        <w:tc>
          <w:tcPr>
            <w:tcW w:w="3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F4151">
        <w:trPr>
          <w:gridBefore w:val="1"/>
          <w:wBefore w:w="6" w:type="dxa"/>
          <w:trHeight w:val="195"/>
        </w:trPr>
        <w:tc>
          <w:tcPr>
            <w:tcW w:w="39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1.990.723,36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2.372.447,00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2.307.989,94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115,94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97,28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1.953.729,00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2.356.592,00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2.296.237,74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117,53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97,44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1.711.404,85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1.996.674,00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1.962.286,33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114,66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98,28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1.412.688,45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1.635.104,96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115,74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1.412.688,45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1.635.104,96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115.74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65.833,21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57.388,95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87,17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65.833,21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57.388,95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87,17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232.883,19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269792,42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115.85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232.883,19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269.792,42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115,85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241.050,55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358.428,00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332.461,91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137,82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92,76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49.279,46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40.196,42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81,57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9.706,66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8.654,78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89,16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28.365,00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28.261,99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99,64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11.134,30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3.175,65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28,52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troškova zaposlenima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73,50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141,50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25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114.959,54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134.036,37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116,59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3221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8.617,53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9.932,70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115,26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26.214,91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26.001,85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99,19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Energija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75.955,16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91.554,76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120,54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1.500,00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2.021,38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134,76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2.381,25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3.759,54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157,88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290,69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766,14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263,56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39.394,30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138.321,71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351,12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4.143,91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8.939,76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215,73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8.832,73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87.918,85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995,38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2.097,44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1.970,57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93,95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7.837,64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7.639,44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97,47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3235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Zakupnine i najamnine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1.111,92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1.749,14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157,31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3.550,94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3.755,03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105,75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4.177,73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19.301,31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462,00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4.509,01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4.449,09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98,67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3.132,98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2.598,52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82,94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27.487,49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12.469,00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45,36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27.487,49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12.469,00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45.36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9.929,76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7.438,41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74,91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Premije osiguranja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1.076,77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1.076,77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2.475,43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2.314,14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93,48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82,65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67,65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81,85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2.128,00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1.695,75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79,69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4.166,91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2.284,10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54,82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financijski rashodi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624,93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3433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Zatezne kamate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624,93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7"/>
                <w:b w:val="0"/>
              </w:rPr>
            </w:pPr>
            <w:r>
              <w:rPr>
                <w:rStyle w:val="CharacterStyle7"/>
                <w:b w:val="0"/>
              </w:rPr>
              <w:t>Rashodi za donacije, kazne, naknade šteta i kapitalne pomoći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1.273,60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1.490,00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1.489,50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116,95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99,97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1.273,60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1.489,50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116,95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1.273,60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1.489,50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116,95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6"/>
              </w:rPr>
            </w:pPr>
            <w:r>
              <w:rPr>
                <w:rStyle w:val="CharacterStyle6"/>
              </w:rPr>
              <w:lastRenderedPageBreak/>
              <w:t>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7"/>
                <w:b w:val="0"/>
              </w:rPr>
            </w:pPr>
            <w:r>
              <w:rPr>
                <w:rStyle w:val="CharacterStyle7"/>
                <w:b w:val="0"/>
              </w:rPr>
              <w:t>Rashodi za nabavu nefinancijske imovine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36.994,36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15.855,00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11.752,20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31,77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74,12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7"/>
                <w:b w:val="0"/>
              </w:rPr>
            </w:pPr>
            <w:r>
              <w:rPr>
                <w:rStyle w:val="CharacterStyle7"/>
                <w:b w:val="0"/>
              </w:rPr>
              <w:t>Rashodi za nabavu proizvedene dugotrajne imovine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36.994,36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15.855,00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11.752,20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31,77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74,12</w:t>
            </w: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35.984,00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10.403,34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28,94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8.063,80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7.664,68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95,05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Medicinska i laboratorijska oprema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3.979,49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4226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Sportska i glazbena oprema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21.247,50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554,49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2,61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Before w:val="1"/>
          <w:wBefore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Uređaji, strojevi i oprema za ostale namjene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2.657,21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2.184,17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82,20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After w:val="1"/>
          <w:wAfter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1046,36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1.348,86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128,91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  <w:tr w:rsidR="002F4151">
        <w:trPr>
          <w:gridAfter w:val="1"/>
          <w:wAfter w:w="6" w:type="dxa"/>
          <w:trHeight w:val="51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1.046,36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1.348,86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128,91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1"/>
              <w:rPr>
                <w:rStyle w:val="CharacterStyle11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F4151">
        <w:trPr>
          <w:trHeight w:val="300"/>
        </w:trPr>
        <w:tc>
          <w:tcPr>
            <w:tcW w:w="10050" w:type="dxa"/>
            <w:shd w:val="clear" w:color="auto" w:fill="auto"/>
          </w:tcPr>
          <w:p w:rsidR="002F4151" w:rsidRDefault="006E510E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1.2.2. IZVJEŠTAJ O PRIHODIMA I RASHODIMA PREMA IZVORIMA FINANCIRANJA</w:t>
            </w: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72"/>
        <w:gridCol w:w="2565"/>
        <w:gridCol w:w="1845"/>
        <w:gridCol w:w="1860"/>
        <w:gridCol w:w="1860"/>
        <w:gridCol w:w="780"/>
        <w:gridCol w:w="660"/>
        <w:gridCol w:w="8"/>
      </w:tblGrid>
      <w:tr w:rsidR="002F4151">
        <w:trPr>
          <w:gridBefore w:val="1"/>
          <w:wBefore w:w="8" w:type="dxa"/>
          <w:trHeight w:val="315"/>
        </w:trPr>
        <w:tc>
          <w:tcPr>
            <w:tcW w:w="10050" w:type="dxa"/>
            <w:gridSpan w:val="8"/>
            <w:shd w:val="clear" w:color="auto" w:fill="auto"/>
            <w:vAlign w:val="center"/>
          </w:tcPr>
          <w:p w:rsidR="002F4151" w:rsidRDefault="002F4151">
            <w:pPr>
              <w:pStyle w:val="ParagraphStyle1"/>
              <w:rPr>
                <w:rStyle w:val="CharacterStyle1"/>
              </w:rPr>
            </w:pPr>
          </w:p>
        </w:tc>
      </w:tr>
      <w:tr w:rsidR="002F4151">
        <w:trPr>
          <w:gridAfter w:val="1"/>
          <w:wAfter w:w="8" w:type="dxa"/>
          <w:trHeight w:val="555"/>
        </w:trPr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F4151">
        <w:trPr>
          <w:gridAfter w:val="1"/>
          <w:wAfter w:w="8" w:type="dxa"/>
          <w:trHeight w:val="225"/>
        </w:trPr>
        <w:tc>
          <w:tcPr>
            <w:tcW w:w="304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1.975.284,27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2.346.655,00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2.147.253,52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108,71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91,50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12.538,93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44.137,00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39.887,74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318,11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90,37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12.538,93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44.137,00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39.887,74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318,11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90,37</w:t>
            </w:r>
          </w:p>
        </w:tc>
      </w:tr>
      <w:tr w:rsidR="002F4151">
        <w:trPr>
          <w:gridAfter w:val="1"/>
          <w:wAfter w:w="8" w:type="dxa"/>
          <w:trHeight w:val="525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24.692,52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22.060,00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21.609,99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87,52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97,96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24.692,52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22.060,00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21.609,99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87,52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97,96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201.138,55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181,664,00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186.518,68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92,73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102,67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171.318,75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181.664,00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186.518,68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108,87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102,67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OSTALO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29.819,90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1.732.254,27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2.016.870,00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1.817.368,62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90,11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12.525,77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16.948,00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12.847,75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102,57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75,81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1.719-728,50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1.999.922,00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1.804,520,87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104,93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90,23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4.660,00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3.944,49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84,65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98,61</w:t>
            </w:r>
          </w:p>
        </w:tc>
      </w:tr>
      <w:tr w:rsidR="002F4151">
        <w:trPr>
          <w:gridAfter w:val="1"/>
          <w:wAfter w:w="8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4.660,00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43.944,49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84,65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98,61</w:t>
            </w:r>
          </w:p>
        </w:tc>
      </w:tr>
      <w:tr w:rsidR="002F4151">
        <w:trPr>
          <w:gridAfter w:val="1"/>
          <w:wAfter w:w="8" w:type="dxa"/>
          <w:trHeight w:val="84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ILI ZAMJENE NEFINANCIJSKE IMOVINE I NAKNADE S NASLOVA OSIGURANJA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77.924,00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</w:tr>
      <w:tr w:rsidR="002F4151">
        <w:trPr>
          <w:gridAfter w:val="1"/>
          <w:wAfter w:w="8" w:type="dxa"/>
          <w:trHeight w:val="675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72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OD PRODAJE PROIZVEDENE DUGOTRAJNE IMOVINE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100</w:t>
            </w:r>
          </w:p>
        </w:tc>
      </w:tr>
      <w:tr w:rsidR="002F4151">
        <w:trPr>
          <w:gridAfter w:val="1"/>
          <w:wAfter w:w="8" w:type="dxa"/>
          <w:trHeight w:val="315"/>
        </w:trPr>
        <w:tc>
          <w:tcPr>
            <w:tcW w:w="10050" w:type="dxa"/>
            <w:gridSpan w:val="8"/>
            <w:shd w:val="clear" w:color="auto" w:fill="auto"/>
            <w:vAlign w:val="center"/>
          </w:tcPr>
          <w:p w:rsidR="002F4151" w:rsidRDefault="002F4151">
            <w:pPr>
              <w:pStyle w:val="ParagraphStyle1"/>
              <w:rPr>
                <w:rStyle w:val="CharacterStyle1"/>
              </w:rPr>
            </w:pPr>
          </w:p>
        </w:tc>
      </w:tr>
    </w:tbl>
    <w:p w:rsidR="002F4151" w:rsidRDefault="002F4151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F4151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lastRenderedPageBreak/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F4151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1.990.723,36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2.372.447,00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2.307.989,94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115,94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97,28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21.960,56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44.137,00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40.869,29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186,10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92,60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21.960,56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44.137,00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40.869,29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186,10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92,60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18.458,14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29.621,00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21.168,28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114,68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71,46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18.458,14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29.621,00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21.168,28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114,68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71,46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169.905,88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181.664,00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181.661,21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106,92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169.905,88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181.664,00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181.661,21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106,92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100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1.775.838,78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2.035.101,00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1.982.422,67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111,63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97,41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13.998,78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16.948,00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10.106,03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72,24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59,63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1.761.850,00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2.018.153,00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1.972.316,64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111,95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97,73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3.944,49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86,50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98,61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4.560,00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4.000,00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3.994,49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86,50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98,61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PRIHODI OD PRODAJE ILI ZAMJENE NEFINANCIJSKE IMOVINE I NAKNADE S NASLOVA OSIGURANJA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100</w:t>
            </w:r>
          </w:p>
        </w:tc>
      </w:tr>
      <w:tr w:rsidR="002F4151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12"/>
                <w:b/>
              </w:rPr>
            </w:pPr>
            <w:r>
              <w:rPr>
                <w:rStyle w:val="CharacterStyle12"/>
                <w:b/>
              </w:rPr>
              <w:t>72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rPr>
                <w:rStyle w:val="CharacterStyle13"/>
              </w:rPr>
            </w:pPr>
            <w:r>
              <w:rPr>
                <w:rStyle w:val="CharacterStyle13"/>
              </w:rPr>
              <w:t>PRIHODI OD PRODAJE PROIZVEDENE DUGOTRAJNE IMOVINE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77.924,00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4"/>
              </w:rPr>
            </w:pPr>
            <w:r>
              <w:rPr>
                <w:rStyle w:val="CharacterStyle14"/>
              </w:rPr>
              <w:t>100,00</w:t>
            </w:r>
          </w:p>
        </w:tc>
      </w:tr>
    </w:tbl>
    <w:p w:rsidR="002F4151" w:rsidRDefault="002F4151"/>
    <w:p w:rsidR="002F4151" w:rsidRDefault="002F415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F4151">
        <w:trPr>
          <w:trHeight w:val="300"/>
        </w:trPr>
        <w:tc>
          <w:tcPr>
            <w:tcW w:w="10590" w:type="dxa"/>
            <w:shd w:val="clear" w:color="auto" w:fill="auto"/>
          </w:tcPr>
          <w:p w:rsidR="002F4151" w:rsidRDefault="006E510E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1.2.3. IZVJEŠTAJ O RASHODIMA PREMA FUNKCIJSKOJ KLASIFIKACIJI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255" w:lineRule="exact"/>
      </w:pP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560"/>
        <w:gridCol w:w="1701"/>
        <w:gridCol w:w="1826"/>
        <w:gridCol w:w="867"/>
        <w:gridCol w:w="709"/>
      </w:tblGrid>
      <w:tr w:rsidR="002F4151">
        <w:trPr>
          <w:trHeight w:val="645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31.12.2024.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2F4151">
        <w:trPr>
          <w:trHeight w:val="225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2F4151">
        <w:trPr>
          <w:trHeight w:val="360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1.990.723,36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2.372.447,00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2.307.989,94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115,94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97,28</w:t>
            </w:r>
          </w:p>
        </w:tc>
      </w:tr>
      <w:tr w:rsidR="002F4151">
        <w:trPr>
          <w:trHeight w:val="375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1.990.723,36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2.372.447,00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jc w:val="right"/>
              <w:rPr>
                <w:rStyle w:val="CharacterStyle6"/>
              </w:rPr>
            </w:pPr>
            <w:r>
              <w:rPr>
                <w:rStyle w:val="CharacterStyle6"/>
              </w:rPr>
              <w:t>2.307.989,94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115,94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97,28</w:t>
            </w:r>
          </w:p>
        </w:tc>
      </w:tr>
      <w:tr w:rsidR="002F4151">
        <w:trPr>
          <w:trHeight w:val="360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091 Predškolsko i osnovno obrazovanje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28.634,69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55.335,00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45.462,49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158,77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94,73</w:t>
            </w:r>
          </w:p>
        </w:tc>
      </w:tr>
      <w:tr w:rsidR="002F4151">
        <w:trPr>
          <w:trHeight w:val="360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092 Srednjoškolsko  obrazovanje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1.961.123,52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2.315.112,00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2.260.764,62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115,28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97,65</w:t>
            </w:r>
          </w:p>
        </w:tc>
      </w:tr>
      <w:tr w:rsidR="002F4151">
        <w:trPr>
          <w:trHeight w:val="360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095 Obrazovanje koje se ne može definirati po stupnju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350,00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275,00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78,57</w:t>
            </w:r>
          </w:p>
        </w:tc>
      </w:tr>
      <w:tr w:rsidR="002F4151">
        <w:trPr>
          <w:trHeight w:val="360"/>
        </w:trPr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096 Dodatne usluge u obrazovanju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965,15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1.650,00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1.487,83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154,16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90,17</w:t>
            </w: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F4151">
        <w:trPr>
          <w:trHeight w:val="330"/>
        </w:trPr>
        <w:tc>
          <w:tcPr>
            <w:tcW w:w="10590" w:type="dxa"/>
            <w:shd w:val="clear" w:color="auto" w:fill="auto"/>
            <w:vAlign w:val="center"/>
          </w:tcPr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2F4151">
            <w:pPr>
              <w:pStyle w:val="ParagraphStyle0"/>
              <w:rPr>
                <w:rStyle w:val="CharacterStyle0"/>
              </w:rPr>
            </w:pPr>
          </w:p>
          <w:p w:rsidR="002F4151" w:rsidRDefault="006E510E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 RAČUN FINANCIRANJA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F4151">
        <w:trPr>
          <w:trHeight w:val="315"/>
        </w:trPr>
        <w:tc>
          <w:tcPr>
            <w:tcW w:w="10590" w:type="dxa"/>
            <w:shd w:val="clear" w:color="auto" w:fill="auto"/>
            <w:vAlign w:val="center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1.3.1. IZVJEŠTAJ RAČUNA FINANCIRANJA PREMA EKONOMSKOJ KLASIFIKACIJI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255" w:lineRule="exact"/>
      </w:pP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010"/>
        <w:gridCol w:w="1559"/>
        <w:gridCol w:w="1134"/>
        <w:gridCol w:w="1276"/>
        <w:gridCol w:w="1134"/>
      </w:tblGrid>
      <w:tr w:rsidR="002F4151">
        <w:trPr>
          <w:trHeight w:val="645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0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31.12.2023.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2024. godinu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F4151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0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F4151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Primici od financijske imovine i zaduživanja</w:t>
            </w:r>
          </w:p>
        </w:tc>
        <w:tc>
          <w:tcPr>
            <w:tcW w:w="10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</w:tr>
      <w:tr w:rsidR="002F4151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jc w:val="left"/>
              <w:rPr>
                <w:rStyle w:val="CharacterStyle9"/>
              </w:rPr>
            </w:pPr>
            <w:r>
              <w:rPr>
                <w:rStyle w:val="CharacterStyle9"/>
              </w:rPr>
              <w:t>Izdaci za financijsku imovinu i otplate zajmova</w:t>
            </w:r>
          </w:p>
        </w:tc>
        <w:tc>
          <w:tcPr>
            <w:tcW w:w="10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</w:tbl>
    <w:p w:rsidR="002F4151" w:rsidRDefault="002F415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</w:tblGrid>
      <w:tr w:rsidR="002F4151">
        <w:trPr>
          <w:trHeight w:val="840"/>
        </w:trPr>
        <w:tc>
          <w:tcPr>
            <w:tcW w:w="30" w:type="dxa"/>
          </w:tcPr>
          <w:p w:rsidR="002F4151" w:rsidRDefault="002F4151">
            <w:pPr>
              <w:rPr>
                <w:rStyle w:val="FakeCharacterStyle"/>
              </w:rPr>
            </w:pPr>
          </w:p>
        </w:tc>
        <w:tc>
          <w:tcPr>
            <w:tcW w:w="9915" w:type="dxa"/>
            <w:shd w:val="clear" w:color="auto" w:fill="auto"/>
          </w:tcPr>
          <w:p w:rsidR="002F4151" w:rsidRDefault="006E510E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2. POSEBNI DIO</w:t>
            </w:r>
            <w:r>
              <w:rPr>
                <w:rStyle w:val="CharacterStyle0"/>
              </w:rPr>
              <w:br/>
            </w:r>
            <w:r>
              <w:rPr>
                <w:rStyle w:val="CharacterStyle0"/>
              </w:rPr>
              <w:br/>
              <w:t>2.1. IZVJEŠTAJ PO PROGRAMSKOJ KLASIFIKACIJI</w:t>
            </w:r>
          </w:p>
        </w:tc>
      </w:tr>
    </w:tbl>
    <w:p w:rsidR="002F4151" w:rsidRDefault="002F4151">
      <w:pPr>
        <w:spacing w:line="3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F4151" w:rsidRDefault="006E510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2F4151">
        <w:trPr>
          <w:trHeight w:val="330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2F4151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2.372.447,00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2.307.989,94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7"/>
              <w:jc w:val="right"/>
              <w:rPr>
                <w:rStyle w:val="CharacterStyle7"/>
              </w:rPr>
            </w:pPr>
            <w:r>
              <w:rPr>
                <w:rStyle w:val="CharacterStyle7"/>
              </w:rPr>
              <w:t>97,28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2.372.447,00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2.307.989,94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97,28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 xml:space="preserve">           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44.137,00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40.869,29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92,60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29.621,00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121.168,28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71,46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181.664,00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181.661,21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2.035.101,00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1.982.422,67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97,41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4.560,00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98,61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OD PRODAJE ILI ZAMJENE NEFINANCIJSKE  IMOVINE I NAKNADE S NASKOVA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77.924,00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77.924,00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57.335,00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47.225,32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ind w:left="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82,37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A1207 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ORGANIZACIJA I IZVOĐENJE NATJECANJA I SMOTRI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1.150,00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987,83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85,90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1.150,00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987,83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85,90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280,36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80,10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240,63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39,20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707,47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88,43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429,93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222,54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49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SUFINANCIRANJE AKTIVNOSTI U ODGOJU I OBRAOVANJU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350,00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275,00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78,57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.350,00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275,00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78,57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350,00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275,00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78,57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275,00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8"/>
                <w:b w:val="0"/>
              </w:rPr>
            </w:pPr>
            <w:r>
              <w:rPr>
                <w:rStyle w:val="CharacterStyle8"/>
                <w:b w:val="0"/>
              </w:rPr>
              <w:t>Kapitalni projekt K1207 17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9"/>
                <w:b w:val="0"/>
              </w:rPr>
            </w:pPr>
            <w:r>
              <w:rPr>
                <w:rStyle w:val="CharacterStyle9"/>
                <w:b w:val="0"/>
              </w:rPr>
              <w:t>SUFINANCIRANJE OBAVEZNE ŠKOLSKE LEKTIRE U OSNOVNIM I SREDNJIM ŠKOLAMA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405,00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405,00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100,00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3"/>
                <w:b/>
              </w:rPr>
            </w:pPr>
            <w:r>
              <w:rPr>
                <w:rStyle w:val="CharacterStyle13"/>
                <w:b/>
              </w:rPr>
              <w:t>405,00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3"/>
                <w:b/>
              </w:rPr>
            </w:pPr>
            <w:r>
              <w:rPr>
                <w:rStyle w:val="CharacterStyle13"/>
                <w:b/>
              </w:rPr>
              <w:t>405,00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3"/>
                <w:b/>
              </w:rPr>
            </w:pPr>
            <w:r>
              <w:rPr>
                <w:rStyle w:val="CharacterStyle13"/>
                <w:b/>
              </w:rPr>
              <w:t>100,00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405,00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405,00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405,00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EU PROJEKTI - UČIMO ZAJEDNO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18.400,00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12.119,13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65,86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4.552,00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ind w:left="0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3.752,09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82,43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3.700,00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3.400,00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91,89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2.400,00</w:t>
            </w:r>
          </w:p>
        </w:tc>
        <w:tc>
          <w:tcPr>
            <w:tcW w:w="780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4"/>
              <w:ind w:left="0"/>
              <w:jc w:val="left"/>
              <w:rPr>
                <w:rStyle w:val="CharacterStyle14"/>
              </w:rPr>
            </w:pP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5"/>
              <w:rPr>
                <w:rStyle w:val="CharacterStyle15"/>
              </w:rPr>
            </w:pP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jc w:val="right"/>
              <w:rPr>
                <w:rStyle w:val="CharacterStyle16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jc w:val="right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352,09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41,33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261,99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40,10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3"/>
              <w:rPr>
                <w:rStyle w:val="CharacterStyle13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13.848,00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8.367,04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60,42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13.848,00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8.367,04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60,42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6842,10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1.524,94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20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SHEMA - VOĆE, POVRĆE I MLIJEKO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3.100,00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1.738,99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56,10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1.738,99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56,10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1.738,99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56,10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1.738,99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CENTRI IZVRSNOSTI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33.430,00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31.199,37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93,33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33.430,00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31.199,37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93,33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12.976,00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12.541,30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96,65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10.765,05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1.776,25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20.454,00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18.658,07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91,22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970,00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4.677.38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Sitan inventar i autogume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914,30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4.330,00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1.095,63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5.771,88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898,88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SREDNJEG ŠKOLSTVA PREMA MINIMALNOM STANDARDU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185.414,00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182.411,21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2F4151">
        <w:trPr>
          <w:trHeight w:val="64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K7007 08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IZGRADNJA, REKONSTRUKCIJA I OPREMANJE OBJEKATA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ind w:left="0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1-500,00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 xml:space="preserve">Kapitalni projekt K7007 09  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PLANSKO I HITNO ODRŽAVANJE OBJEKATA I OPREME SREDNJEG ŠKOLSTVA I UČENIČKIH DOMOVA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13.960,00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13.957,21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99,98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13.960,00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13-957,21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ind w:left="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99,98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13-960,00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13,957,21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ind w:left="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99,98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0"/>
              <w:jc w:val="right"/>
              <w:rPr>
                <w:rStyle w:val="CharacterStyle10"/>
                <w:b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12.641,21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0"/>
              <w:ind w:left="0"/>
              <w:jc w:val="right"/>
              <w:rPr>
                <w:rStyle w:val="CharacterStyle10"/>
                <w:b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0"/>
              <w:jc w:val="right"/>
              <w:rPr>
                <w:rStyle w:val="CharacterStyle10"/>
                <w:b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1.316,00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0"/>
              <w:ind w:left="0"/>
              <w:jc w:val="right"/>
              <w:rPr>
                <w:rStyle w:val="CharacterStyle10"/>
                <w:b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jc w:val="center"/>
              <w:rPr>
                <w:rStyle w:val="CharacterStyle8"/>
              </w:rPr>
            </w:pPr>
            <w:r>
              <w:rPr>
                <w:rStyle w:val="CharacterStyle8"/>
              </w:rPr>
              <w:t>Aktivnost A7007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OPĆIH TROŠKOVA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34.604,00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34.604,00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ind w:left="0"/>
              <w:jc w:val="right"/>
              <w:rPr>
                <w:rStyle w:val="CharacterStyle10"/>
                <w:b/>
              </w:rPr>
            </w:pPr>
            <w:r>
              <w:rPr>
                <w:rStyle w:val="CharacterStyle10"/>
                <w:b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34.604,00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34.604,00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34.604,00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34.604,00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4.602,18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270,00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5,539,98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399,47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2.021,38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794,58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766,14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2.781,53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599,94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4.429,18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1.681,89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41,42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3.774,52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2.143,45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837,26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Premije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1.076,77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1.124,76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42,65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293,11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1.279,30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A7007 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STVARNIH TROŠKOVA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135.350,00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135.350,00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3.750,00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3.750,00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2.525,00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1.225,00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3"/>
              <w:rPr>
                <w:rStyle w:val="CharacterStyle13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131.600,00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131.600,00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131.600,00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131.600,00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28.000,00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7.296,89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86.575,49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2.353,64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2.834,77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3-663,21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875,00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ŠKOLSTVA IZVAN ŽUPANIJSKOG PRORAČUNA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2.129.698,00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2.075.353,41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97.45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A7011 02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 - SREDNJE ŠKOLSTVO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2.129.698,00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2.075.353,41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97.45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VLASTITI PRIHODI - PRORAČUNSKI KORISNICI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29.621,00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121.168,28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71.46</w:t>
            </w: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2.000,00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1.200,00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60,00</w:t>
            </w: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1.200,00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22.821,00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17.645,54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77,32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48,73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11.889,12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16,80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1.861,66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1.312,11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375,49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Zakzpnine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67,26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205,64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1.161,26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482,47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1.581,81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684,17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56,76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2.018.153,00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1.972.316,64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3"/>
              </w:rPr>
              <w:t>97,73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1.963.800,00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1.936.497,63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98,61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1.614.857,18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55.188,95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266.451,00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43.713,00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27.359,54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62,59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662,60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2.905,65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3.318,99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2.436,47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189,00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16,12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gridAfter w:val="1"/>
          <w:wAfter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3.008,88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12.269,00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250,40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1.402,64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ind w:left="0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299,79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1.490,00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1.489,50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99,97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1.489,50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9.150,00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6.969,97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76,17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6,082,87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887,10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3.944,49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98,61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3.390,00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84,75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3.390,00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Sportska i glazbena oprema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554,49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Izvor financiranja 72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PRIHODI OD PRODAJE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77.924,00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77.924,00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77.924,00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77.924,00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77.924,00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  <w:tr w:rsidR="002F4151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6E510E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5.000,00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151" w:rsidRDefault="002F4151">
            <w:pPr>
              <w:pStyle w:val="ParagraphStyle16"/>
              <w:rPr>
                <w:rStyle w:val="CharacterStyle16"/>
              </w:rPr>
            </w:pPr>
          </w:p>
        </w:tc>
      </w:tr>
    </w:tbl>
    <w:p w:rsidR="002F4151" w:rsidRDefault="002F4151">
      <w:pPr>
        <w:spacing w:line="15" w:lineRule="exact"/>
      </w:pPr>
    </w:p>
    <w:p w:rsidR="002F4151" w:rsidRDefault="002F4151">
      <w:pPr>
        <w:spacing w:line="15" w:lineRule="exact"/>
      </w:pPr>
    </w:p>
    <w:p w:rsidR="002F4151" w:rsidRDefault="002F4151">
      <w:pPr>
        <w:tabs>
          <w:tab w:val="left" w:pos="2520"/>
        </w:tabs>
      </w:pPr>
    </w:p>
    <w:p w:rsidR="002F4151" w:rsidRDefault="002F4151">
      <w:pPr>
        <w:tabs>
          <w:tab w:val="left" w:pos="2520"/>
        </w:tabs>
        <w:ind w:left="283"/>
      </w:pPr>
    </w:p>
    <w:p w:rsidR="002F4151" w:rsidRDefault="002F4151">
      <w:pPr>
        <w:tabs>
          <w:tab w:val="left" w:pos="2520"/>
        </w:tabs>
        <w:ind w:left="283"/>
      </w:pPr>
    </w:p>
    <w:p w:rsidR="002F4151" w:rsidRDefault="002F4151">
      <w:pPr>
        <w:tabs>
          <w:tab w:val="left" w:pos="2520"/>
        </w:tabs>
        <w:ind w:left="283"/>
      </w:pPr>
    </w:p>
    <w:p w:rsidR="002F4151" w:rsidRDefault="002F4151">
      <w:pPr>
        <w:tabs>
          <w:tab w:val="left" w:pos="2520"/>
        </w:tabs>
        <w:ind w:left="283"/>
      </w:pPr>
    </w:p>
    <w:p w:rsidR="002F4151" w:rsidRDefault="002F4151">
      <w:pPr>
        <w:tabs>
          <w:tab w:val="left" w:pos="2520"/>
        </w:tabs>
        <w:ind w:left="283"/>
      </w:pPr>
    </w:p>
    <w:p w:rsidR="002F4151" w:rsidRDefault="002F4151">
      <w:pPr>
        <w:tabs>
          <w:tab w:val="left" w:pos="2520"/>
        </w:tabs>
      </w:pPr>
    </w:p>
    <w:p w:rsidR="002F4151" w:rsidRDefault="006E510E">
      <w:pPr>
        <w:pStyle w:val="Bezproreda1"/>
        <w:jc w:val="both"/>
        <w:rPr>
          <w:rFonts w:cs="Calibri"/>
          <w:b/>
        </w:rPr>
      </w:pPr>
      <w:r>
        <w:rPr>
          <w:rFonts w:cs="Calibri"/>
          <w:b/>
        </w:rPr>
        <w:t>OBRAZLOŽENJE GODIŠNJEG IZVJEŠTAJA O IZVRŠENJU FINANCIJSKOG PLANA ZA 2025. GODINU</w:t>
      </w:r>
    </w:p>
    <w:p w:rsidR="002F4151" w:rsidRDefault="002F4151">
      <w:pPr>
        <w:pStyle w:val="Bezproreda1"/>
        <w:jc w:val="both"/>
        <w:rPr>
          <w:rFonts w:cs="Calibri"/>
        </w:rPr>
      </w:pPr>
    </w:p>
    <w:p w:rsidR="002F4151" w:rsidRDefault="006E510E">
      <w:pPr>
        <w:pStyle w:val="Bezproreda1"/>
        <w:jc w:val="both"/>
        <w:rPr>
          <w:rFonts w:cs="Calibri"/>
        </w:rPr>
      </w:pPr>
      <w:r>
        <w:rPr>
          <w:rFonts w:cs="Calibri"/>
        </w:rPr>
        <w:t>Izvještaj o izvršenju financijskog plana prati jesu li se i u kojim iznosima ostvarile planirane pozicije prihoda, primitaka, rashoda, izdataka, viškova i manjkova unutar promatranog razdoblja.</w:t>
      </w:r>
    </w:p>
    <w:p w:rsidR="002F4151" w:rsidRDefault="006E510E">
      <w:pPr>
        <w:pStyle w:val="Bezproreda1"/>
        <w:jc w:val="both"/>
        <w:rPr>
          <w:rFonts w:cs="Calibri"/>
        </w:rPr>
      </w:pPr>
      <w:r>
        <w:rPr>
          <w:rFonts w:cs="Calibri"/>
        </w:rPr>
        <w:t>Sadržaj, podnošenje i donošenje izvještaja o izvršenju financijskog plana proračunskog korisnika propisani su u čl. 80.- 87. Zakona o proračunu (Nar. Nov., br. 144/21.) i Pravilnikom o polugodišnjem i godišnjem izvještavanju o izvršenju proračuna i financijskog plana (NN 85/23.).</w:t>
      </w:r>
    </w:p>
    <w:p w:rsidR="002F4151" w:rsidRDefault="002F4151">
      <w:pPr>
        <w:rPr>
          <w:szCs w:val="22"/>
        </w:rPr>
      </w:pPr>
    </w:p>
    <w:p w:rsidR="002F4151" w:rsidRDefault="006E510E">
      <w:pPr>
        <w:rPr>
          <w:szCs w:val="22"/>
        </w:rPr>
      </w:pPr>
      <w:r>
        <w:rPr>
          <w:szCs w:val="22"/>
        </w:rPr>
        <w:t>U 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2F4151" w:rsidRDefault="006E510E">
      <w:pPr>
        <w:rPr>
          <w:szCs w:val="22"/>
        </w:rPr>
      </w:pPr>
      <w:r>
        <w:rPr>
          <w:szCs w:val="22"/>
        </w:rPr>
        <w:t>Godišnji izvještaja o izvršenju Financijskog plana za 2025. sadrži prikaz svih prihoda i primitaka i rashoda i izdataka u razdoblju za koje se sastavlja, a prikazuje se kroz:</w:t>
      </w:r>
    </w:p>
    <w:p w:rsidR="002F4151" w:rsidRDefault="006E510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Opći dio (sažetka računa prihoda i rashoda, račun financiranja, preneseni višak)</w:t>
      </w:r>
    </w:p>
    <w:p w:rsidR="002F4151" w:rsidRDefault="006E510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Posebni dio (izvršenje rashoda i izdataka proračunskih korisnika) i</w:t>
      </w:r>
    </w:p>
    <w:p w:rsidR="002F4151" w:rsidRDefault="006E510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Obrazloženje (obrazloženje općeg dijela i posebnog dijela financijskog plana) </w:t>
      </w:r>
    </w:p>
    <w:p w:rsidR="002F4151" w:rsidRDefault="006E510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Posebne izvještaje</w:t>
      </w:r>
    </w:p>
    <w:p w:rsidR="002F4151" w:rsidRDefault="002F4151">
      <w:pPr>
        <w:jc w:val="center"/>
        <w:rPr>
          <w:b/>
          <w:bCs/>
          <w:szCs w:val="22"/>
        </w:rPr>
      </w:pPr>
    </w:p>
    <w:p w:rsidR="002F4151" w:rsidRDefault="002F4151">
      <w:pPr>
        <w:jc w:val="center"/>
        <w:rPr>
          <w:b/>
          <w:bCs/>
          <w:szCs w:val="22"/>
        </w:rPr>
      </w:pPr>
    </w:p>
    <w:p w:rsidR="002F4151" w:rsidRDefault="002F4151">
      <w:pPr>
        <w:jc w:val="center"/>
        <w:rPr>
          <w:b/>
          <w:bCs/>
          <w:szCs w:val="22"/>
        </w:rPr>
      </w:pPr>
    </w:p>
    <w:p w:rsidR="002F4151" w:rsidRDefault="002F4151">
      <w:pPr>
        <w:jc w:val="center"/>
        <w:rPr>
          <w:b/>
          <w:bCs/>
          <w:szCs w:val="22"/>
        </w:rPr>
      </w:pPr>
    </w:p>
    <w:p w:rsidR="002F4151" w:rsidRDefault="006E510E">
      <w:pPr>
        <w:rPr>
          <w:b/>
          <w:szCs w:val="22"/>
        </w:rPr>
      </w:pPr>
      <w:r>
        <w:rPr>
          <w:b/>
          <w:bCs/>
          <w:color w:val="000000"/>
          <w:szCs w:val="22"/>
        </w:rPr>
        <w:t xml:space="preserve">OBRAZLOŽENJE OPĆEG DIJELA </w:t>
      </w:r>
      <w:r>
        <w:rPr>
          <w:b/>
          <w:szCs w:val="22"/>
        </w:rPr>
        <w:t>GODIŠNJEG IZVJEŠTAJA O IZVRŠENJU FINANCIJSKOG PLANA ZA 2025. GODINU</w:t>
      </w:r>
    </w:p>
    <w:p w:rsidR="002F4151" w:rsidRDefault="002F4151">
      <w:pPr>
        <w:spacing w:line="276" w:lineRule="auto"/>
        <w:rPr>
          <w:b/>
          <w:bCs/>
          <w:color w:val="000000"/>
          <w:szCs w:val="22"/>
        </w:rPr>
      </w:pPr>
    </w:p>
    <w:p w:rsidR="002F4151" w:rsidRDefault="006E510E">
      <w:pPr>
        <w:spacing w:line="276" w:lineRule="auto"/>
        <w:rPr>
          <w:color w:val="000000"/>
          <w:szCs w:val="22"/>
        </w:rPr>
      </w:pPr>
      <w:r>
        <w:rPr>
          <w:szCs w:val="22"/>
        </w:rPr>
        <w:t>Obrazloženje godišnjeg izvještaja o izvršenju financijskog plana Tehničke škole i prorodoslovne gimnazije Ruđera Boškovića za 2025. godinu izrađen je u skladu s odredbama Zakona o proračunu (Narodne novine broj 144/21),</w:t>
      </w:r>
      <w:r>
        <w:rPr>
          <w:color w:val="000000"/>
          <w:szCs w:val="22"/>
        </w:rPr>
        <w:t xml:space="preserve"> Pravilnika o proračunskim klasifikacijama (Narodne novine broj 4/24), Pravilnika o proračunskom računovodstvu i Računskom planu (Narone novine 158/23), Zakonu o uvođenju eura kao službene valute u Republici Hrvatskoj (Narodne novine  broj 57/2022) te Informacije u svezi godišnjeg izvještaja o izvršenju Proračuna i financijskog plana za 2025. godinu Upravnog odjela za obrazovanje, kulturu i sport od 9. ožujka 2026. godine.</w:t>
      </w:r>
    </w:p>
    <w:p w:rsidR="002F4151" w:rsidRDefault="002F4151">
      <w:pPr>
        <w:spacing w:line="276" w:lineRule="auto"/>
        <w:rPr>
          <w:color w:val="000000"/>
          <w:szCs w:val="22"/>
        </w:rPr>
      </w:pPr>
    </w:p>
    <w:p w:rsidR="002F4151" w:rsidRDefault="002F4151">
      <w:pPr>
        <w:rPr>
          <w:szCs w:val="22"/>
        </w:rPr>
      </w:pP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6E510E">
      <w:pPr>
        <w:pStyle w:val="Bezproreda1"/>
        <w:jc w:val="both"/>
        <w:rPr>
          <w:rFonts w:cs="Calibri"/>
        </w:rPr>
      </w:pPr>
      <w:r>
        <w:rPr>
          <w:rFonts w:cs="Calibri"/>
          <w:b/>
        </w:rPr>
        <w:t>OBRAZLOŽENJE OSTVARENJA PRIHODA I PRIMITAKA, RASHODA I IZDATAKA ZA RAZDOBLJE  1.1. DO 31.12.2025</w:t>
      </w:r>
      <w:r>
        <w:rPr>
          <w:rFonts w:cs="Calibri"/>
        </w:rPr>
        <w:t>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 xml:space="preserve">Tehnička škola i prirodoslovna gimnazija Ruđera Boškovića u razdoblju 01. siječnja do 31. prosinca 2025. godine ostvarila je ukupne prihode u iznosu 2.147.253,52 eur, rashodi su izvršeni u iznosu od 2.307.989,94 eur, te je ostvaren manjak za navedeno razdoblje u iznosu od 160.736,42 eur. Preneseni višak iz prethodne godine iznosi 25.792,004 eur, pa ukupni manjak iznosi 134.944,38 eur i to je metodološki manjak iz razloga što plaća 12/2025. nije knjižena na vremenska razgraničenja kao ranijih godina nego na rashode i  u 2025. godini, imamo 12 prihoda za plaće,  a 13 rashoda za plaće. Ukupni prihodi realizirani su na razini 91,50 % u odnosu na planske vrijednosti.  Ukupni rashodi realizirani su na razini 97,28 % u odnosu na planirano.  </w:t>
      </w:r>
    </w:p>
    <w:p w:rsidR="002F4151" w:rsidRDefault="002F4151">
      <w:pPr>
        <w:rPr>
          <w:rStyle w:val="Neupadljivoisticanje1"/>
          <w:i w:val="0"/>
          <w:iCs w:val="0"/>
          <w:szCs w:val="22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Škola ima dospjelih potraživanja na dan 31.12.2025. godine, a odnose se na najam kantine za 12/2025. u iznosu 250,00 eur, najam sportske dvorane u iznosu 198,00 eur, i nedospjelih potraživanja za tekuće pomoći proračunskim korisnicima iz proračuna koji im nije nadležan za plaću 12/2025 u iznosu 146.978,55 eur i potraživanja za tekuće pomoći iz državnog proračuna temeljem prijenosa EU sredstava za projekt Medijska pismenost u iznosu 17.244,00 eur.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Stanje obveza na 31.12.2025. iznosi 184.938,17 eur, koje će biti plaćene do 20.1.2025., škola nema dospjelih obveza. Obveze se odnose na plaću zaposlenika za 12/2025., plaću pomoćnika u nastavi za 12/2025., plaću i ugovore o djelu za Centar izvrsnosti za kemiju za 12/2025.,  mjesečne račune za 12/2025. godine.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Stanje novčanih sredstava Tehničke škole i prirodoslovne gimnazije Ruđera Boškovića na žiro-računu Osječko – baranjske županije na dan 31.12.2025. godine iznosi 48.910,23  eur.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rFonts w:cs="Calibri"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b/>
          <w:i w:val="0"/>
          <w:iCs w:val="0"/>
        </w:rPr>
      </w:pPr>
      <w:r>
        <w:rPr>
          <w:rStyle w:val="Neupadljivoisticanje1"/>
          <w:b/>
          <w:i w:val="0"/>
          <w:iCs w:val="0"/>
        </w:rPr>
        <w:t>OBRAZLOŽENJE ODSTUPANJA (01.01.2024. – 31.12.2024. i 01.01.2025. – 31.12.2025.)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b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Na računu 63 Pomoći iz inozemstva i od subjekata unutar općeg proračuna u 2025. godini iskazan je realizirani iznos pomoći u iznosu 1.804.520,87 eur odnosno realizirane su na razini 90,23% u odnosu na plan, 103,14% u odnosu na 2024. godinu. Unutar ove grupe prihoda evidentirane su promjene na sljedećim računima: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6323 -  Tekuće pomoći od institucija i tijela EU, odnose se na projekt United (6.865,98 eur)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6361 - Tekuće pomoći proračunskim korisnicima iz proračuna koji im nije nadležan (1.797.054,89 eur)</w:t>
      </w: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 xml:space="preserve">6362 </w:t>
      </w:r>
      <w:r>
        <w:rPr>
          <w:rStyle w:val="Neupadljivoisticanje1"/>
          <w:i w:val="0"/>
          <w:iCs w:val="0"/>
        </w:rPr>
        <w:softHyphen/>
      </w:r>
      <w:r>
        <w:rPr>
          <w:rStyle w:val="Neupadljivoisticanje1"/>
          <w:i w:val="0"/>
          <w:iCs w:val="0"/>
        </w:rPr>
        <w:softHyphen/>
        <w:t>-  Kapitalne pomoći proračunskim korisnicima iz proračuna koji im nije nadležan (600,00 eur)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Na računu 65 Prihodi od upravnih i administrativnih pristojbi, pristojbi po posebnim propisima i naknada  odnose se na prihode od uplate za povećane troškove obrazovanja u kozmetičkom usmjerenju (4.500,00 eur), realizirani su 100% u odnosu na plan  i 102,27% u odnosu na 2024. godinu.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</w:rPr>
      </w:pPr>
      <w:r>
        <w:rPr>
          <w:rStyle w:val="Neupadljivoisticanje1"/>
          <w:i w:val="0"/>
        </w:rPr>
        <w:t>Račun 66 Prihodi od prodaje proizvoda i robe te pruženih usluga i prihodi od donacija, odnose se na prihode od zakupa školske kantine, najma zidova za plakate, najma sportske dvorane, naknade za izdavanje prijepisa-duplikata svjedodžbi, prihode učeničke zadruge i donacije (21.054,48 eur) Realizirani su 97,86&amp; u odnosu na plan i 84,38% u odnosu na 2024. godinu.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Na računu 67 Prihodi iz nadležnog proračuna i od HZZO-a na temelju ugovorenih obveza obuhvaćaju prihode od strane osnivača Osječko-baranjske županije. Ostvareno je 239.254,17 eur za financiranje rashoda za potrebe redovnog poslovanja škole. Realizirani su 98,56% u odnosu na plan i 121,83%  u odnosu na prethodnu godinu.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Na računu 72 Prihodi od prodaje proizvedene dugotrajne imovine ostvareni su prihodi od prodaje stana u vlasništvu škole (77.924,00 eur)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31 Rashodi za zaposlene realizirani su u iznosu od 1.962.286,33 eur što je na razini  98,28% u odnosu na plan proračuna. Račun 31 obuhvaća troškove plaća za redovan rad zaposlenika Škole, isplatu materijalnih prava zaposlenika i doprinos na plaću za obavezno zdravstveno osiguranje.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rFonts w:cs="Calibri"/>
          <w:i w:val="0"/>
        </w:rPr>
      </w:pPr>
    </w:p>
    <w:p w:rsidR="002F4151" w:rsidRDefault="006E510E">
      <w:pPr>
        <w:spacing w:line="276" w:lineRule="auto"/>
        <w:rPr>
          <w:rStyle w:val="Neupadljivoisticanje1"/>
          <w:i w:val="0"/>
          <w:iCs w:val="0"/>
          <w:szCs w:val="22"/>
        </w:rPr>
      </w:pPr>
      <w:r>
        <w:rPr>
          <w:rStyle w:val="Neupadljivoisticanje1"/>
          <w:i w:val="0"/>
          <w:iCs w:val="0"/>
          <w:szCs w:val="22"/>
        </w:rPr>
        <w:t xml:space="preserve">32 Materijalni rashodi  realizirani su u iznosu 332.461,91 eur odnosno na razini 92,76% u odnosu na tekući plan proračunske godine. 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</w:rPr>
      </w:pPr>
      <w:r>
        <w:rPr>
          <w:rStyle w:val="Neupadljivoisticanje1"/>
          <w:i w:val="0"/>
        </w:rPr>
        <w:t xml:space="preserve">38 Rashodi za donacije, kazne, naknade šteta i kapitalne pomoći realizirani su u iznosu 1.489,50 eur što je </w:t>
      </w: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</w:rPr>
      </w:pPr>
      <w:r>
        <w:rPr>
          <w:rStyle w:val="Neupadljivoisticanje1"/>
          <w:i w:val="0"/>
        </w:rPr>
        <w:t>99,97% od planiranoga , a odnose se na tekuće donacije u naravi tj. menstrualne higijenske potrepštine za učenice škole.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</w:rPr>
      </w:pPr>
      <w:r>
        <w:rPr>
          <w:rStyle w:val="Neupadljivoisticanje1"/>
          <w:i w:val="0"/>
        </w:rPr>
        <w:t xml:space="preserve">42 Rashodi za nabavu proizvedene dugotrajne imovine izvršeni su u iznosu 11.752,20 eur što iznosi 74,12% od tekućeg plana proračunske godine. </w:t>
      </w: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2F4151" w:rsidRDefault="002F4151">
      <w:pPr>
        <w:pStyle w:val="Bezproreda1"/>
        <w:spacing w:line="276" w:lineRule="auto"/>
        <w:jc w:val="both"/>
        <w:rPr>
          <w:rStyle w:val="Neupadljivoisticanje1"/>
          <w:rFonts w:cs="Calibri"/>
          <w:i w:val="0"/>
          <w:iCs w:val="0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2F4151">
      <w:pPr>
        <w:rPr>
          <w:b/>
          <w:szCs w:val="24"/>
        </w:rPr>
      </w:pPr>
    </w:p>
    <w:p w:rsidR="002F4151" w:rsidRDefault="006E510E">
      <w:pPr>
        <w:rPr>
          <w:b/>
          <w:szCs w:val="24"/>
        </w:rPr>
      </w:pPr>
      <w:r>
        <w:rPr>
          <w:b/>
          <w:szCs w:val="24"/>
        </w:rPr>
        <w:t>OBRAZLOŽENJE POSEBNOG DIJELA GODIŠNJEG IZVJEŠTAJA O IZVRŠENJU FINANCIJSKOG PLANA ZA 2025. GODINU</w:t>
      </w:r>
    </w:p>
    <w:p w:rsidR="002F4151" w:rsidRDefault="002F4151">
      <w:pPr>
        <w:jc w:val="center"/>
        <w:rPr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25"/>
        <w:gridCol w:w="8043"/>
      </w:tblGrid>
      <w:tr w:rsidR="002F4151">
        <w:trPr>
          <w:trHeight w:val="9682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151" w:rsidRDefault="006E510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>
              <w:rPr>
                <w:rFonts w:ascii="Calibri" w:hAnsi="Calibri" w:cs="Calibri"/>
                <w:i w:val="0"/>
                <w:u w:val="none"/>
              </w:rPr>
              <w:lastRenderedPageBreak/>
              <w:t>NAZIV KORISNIKA: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SAŽETAK DJELOKRUGA RADA: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IZVRŠENJE 1.-</w:t>
            </w: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12.2025.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  <w:szCs w:val="24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4151" w:rsidRDefault="002F4151">
            <w:pPr>
              <w:rPr>
                <w:sz w:val="20"/>
              </w:rPr>
            </w:pPr>
          </w:p>
        </w:tc>
        <w:tc>
          <w:tcPr>
            <w:tcW w:w="8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151" w:rsidRDefault="006E510E">
            <w:pPr>
              <w:pStyle w:val="Naslov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TEHNIČKA ŠKOLA I PRIRODOSLOVNA GIMNAZIJA RUĐERA BOŠKOVIĆA</w:t>
            </w:r>
          </w:p>
          <w:p w:rsidR="002F4151" w:rsidRDefault="002F4151">
            <w:pPr>
              <w:rPr>
                <w:sz w:val="20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Tehnička škola i prirodoslovna gimnazija Ruđera Boškovića je javna ustanova sa sjedištem u Osijeku, Vukovarska cesta 209.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U Školi se obavlja djeatnost srednjeg odgoja i obrazovanja mladeži za stjecanje stručne spreme u četverogodišnjim programima:</w:t>
            </w:r>
          </w:p>
          <w:p w:rsidR="002F4151" w:rsidRDefault="006E510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Prirodoslovna gimnazija</w:t>
            </w:r>
          </w:p>
          <w:p w:rsidR="002F4151" w:rsidRDefault="006E510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Prehrambena tehnologija (tehničar nutricionist)</w:t>
            </w:r>
          </w:p>
          <w:p w:rsidR="002F4151" w:rsidRDefault="006E510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Grafička tehnologija (grafički tehničar pripreme, dorade i tiska, grafički urednik dizajner, web dizajner)</w:t>
            </w:r>
          </w:p>
          <w:p w:rsidR="002F4151" w:rsidRDefault="006E510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Osobne usluge (kozmetičar)</w:t>
            </w:r>
          </w:p>
          <w:p w:rsidR="002F4151" w:rsidRDefault="006E510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Kemijski tehničar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ab/>
              <w:t xml:space="preserve">Redovna, izborna, fakultativna, dodatna i dopunska nastava izvodi se prema nastavnim planovima i programima MZOM-a, izvedbenim godišnjim predmetnim kurikulumima, Godišnjem planu i programu rada Škole te Školskom kurikulumu za šk. g. 2024./2025. i 2025./2026. Programi se provode uz potpunu stručnu zastupljenost nastavnog osoblja uključujući i stručne suradnike pedagoga s punim radnim vremenom, psihologa s punim radnim vremenom i knjižničara s punim  radnim vremenom.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ab/>
              <w:t>Školu pohađa 396 učenika u 19 razrednih odjela.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Zgradu dijelimo s Medicinskom školom. Tehnička škola i prirodoslovna gimnazija Ruđera Boškovića  nositelj je troškova energenata za cijelu zgradu. Troškove energenata financira Osječko-baranjska županijau visini stvarnih troškova.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Pregled izvršenja rashoda po programima: </w:t>
            </w:r>
          </w:p>
          <w:p w:rsidR="002F4151" w:rsidRDefault="002F4151">
            <w:pPr>
              <w:rPr>
                <w:sz w:val="20"/>
              </w:rPr>
            </w:pPr>
          </w:p>
          <w:tbl>
            <w:tblPr>
              <w:tblW w:w="7531" w:type="dxa"/>
              <w:tblLook w:val="04A0" w:firstRow="1" w:lastRow="0" w:firstColumn="1" w:lastColumn="0" w:noHBand="0" w:noVBand="1"/>
            </w:tblPr>
            <w:tblGrid>
              <w:gridCol w:w="524"/>
              <w:gridCol w:w="3520"/>
              <w:gridCol w:w="1300"/>
              <w:gridCol w:w="1073"/>
              <w:gridCol w:w="1390"/>
            </w:tblGrid>
            <w:tr w:rsidR="002F4151">
              <w:trPr>
                <w:trHeight w:val="55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Naziv programa 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2025.</w:t>
                  </w:r>
                </w:p>
              </w:tc>
              <w:tc>
                <w:tcPr>
                  <w:tcW w:w="10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1.-12.20245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2F4151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57.335,00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47.225,32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82,37%</w:t>
                  </w:r>
                </w:p>
              </w:tc>
            </w:tr>
            <w:tr w:rsidR="002F4151">
              <w:trPr>
                <w:trHeight w:val="45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185.414,00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185.411,21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45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2.129.698,00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2.075.353,41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97,45%</w:t>
                  </w:r>
                </w:p>
              </w:tc>
            </w:tr>
            <w:tr w:rsidR="002F4151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Sveukupno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2.372,447,00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2.307.989,94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97,28%</w:t>
                  </w:r>
                </w:p>
              </w:tc>
            </w:tr>
          </w:tbl>
          <w:p w:rsidR="002F4151" w:rsidRDefault="002F4151">
            <w:pPr>
              <w:rPr>
                <w:sz w:val="20"/>
              </w:rPr>
            </w:pPr>
          </w:p>
        </w:tc>
      </w:tr>
    </w:tbl>
    <w:p w:rsidR="002F4151" w:rsidRDefault="002F4151">
      <w:pPr>
        <w:jc w:val="center"/>
        <w:rPr>
          <w:b/>
          <w:bCs/>
          <w:color w:val="000000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36"/>
        <w:gridCol w:w="8449"/>
        <w:gridCol w:w="171"/>
      </w:tblGrid>
      <w:tr w:rsidR="002F4151"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151" w:rsidRDefault="006E510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>
              <w:rPr>
                <w:rFonts w:ascii="Calibri" w:hAnsi="Calibri" w:cs="Calibri"/>
                <w:i w:val="0"/>
                <w:u w:val="none"/>
              </w:rPr>
              <w:lastRenderedPageBreak/>
              <w:t>NAZIV PROGRAMA: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OPIS PROGRAMA, OPĆI I POSEBNI CILJEVI: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 w:val="20"/>
              </w:rPr>
              <w:t>ZAKONSKA OSNOVA ZA UVOĐENJE PROGRAMA</w:t>
            </w:r>
            <w:r>
              <w:rPr>
                <w:bCs/>
                <w:szCs w:val="22"/>
              </w:rPr>
              <w:t>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IZVRŠENJE 1.-12.2025.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 w:val="20"/>
              </w:rPr>
              <w:lastRenderedPageBreak/>
              <w:t>OBRAZLOŽENJE IZVRŠENJA PROGRAMA: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POKAZATELJI USPJEŠNOSTI: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>
            <w:pPr>
              <w:rPr>
                <w:lang w:eastAsia="en-US"/>
              </w:rPr>
            </w:pPr>
          </w:p>
          <w:p w:rsidR="002F4151" w:rsidRDefault="002F4151"/>
          <w:p w:rsidR="002F4151" w:rsidRDefault="006E510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>
              <w:rPr>
                <w:rFonts w:ascii="Calibri" w:hAnsi="Calibri" w:cs="Calibri"/>
                <w:i w:val="0"/>
                <w:u w:val="none"/>
              </w:rPr>
              <w:t>NAZIV PROGRAMA: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OPIS PROGRAMA, OPĆI I POSEBNI CILJEVI: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 w:val="20"/>
              </w:rPr>
              <w:t>ZAKONSKA OSNOVA ZA UVOĐENJE PROGRAMA</w:t>
            </w:r>
            <w:r>
              <w:rPr>
                <w:bCs/>
                <w:szCs w:val="22"/>
              </w:rPr>
              <w:t>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IZVRŠENJE 1.-12.2025.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 w:val="20"/>
              </w:rPr>
              <w:t>OBRAZLOŽENJE IZVRŠENJA PROGRAMA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POKAZATELJI USPJEŠNOSTI: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4151" w:rsidRDefault="002F4151">
            <w:pPr>
              <w:rPr>
                <w:szCs w:val="22"/>
              </w:rPr>
            </w:pPr>
          </w:p>
        </w:tc>
        <w:tc>
          <w:tcPr>
            <w:tcW w:w="8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151" w:rsidRDefault="006E510E">
            <w:pPr>
              <w:rPr>
                <w:b/>
                <w:szCs w:val="22"/>
              </w:rPr>
            </w:pPr>
            <w:r>
              <w:rPr>
                <w:b/>
                <w:caps/>
                <w:szCs w:val="22"/>
              </w:rPr>
              <w:t>1207 RAZVOJ ODGOJNO-OBRAZOVNOG SUSTAVA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Budući da je Škola je domaćin Županijskih natjecanja iz Kemije za organizaciju i izvođenje natjecanja predvidjeli smo troškove plaća, uredskog materijala, ugovora o djelu, hrane i pića. Cilj je poticanje učenika na razvoj i unapređenje osobnih znanja, vještina, sposobnosti i kreativnosti.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Kroz Programe i projekte u odgoju i obrazovanju sudjelovali smo na Tehnicoolumu i Sajmu zanimanja.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Sufinanciranjem obvezne školske lektire od strane Osnivača, cilj je pridonijeti boljoj opremljenosti školskih knjižnica dovoljnim brojem primjeraka školske lektire i stručne literature u svrhu kvalitetnije realizacije obrazovnih programa.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Kroz projekt učimo zajedno osiguran je pomoćnik u nastavi za jednog učenika Škole.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Mjerom školska shema voća, povrća i mlijeka, učenicima je  osigurano konzumiranje svježeg voća ili voćnog soka najmanje jednom tjedno u skladu s proračunom.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Od prošle školske godine Škola je postala Centar izvrsnosti za kemiju u okviru kojeg se održavaju radionice za učenike 7. i 8. razreda osnovne škole te 1. i 2. razreda srednje škole.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odgoju i obrazovanju u osnovnoj i srednjoj školi (Narodne novine broj 87/08, 86/09, 92/10,105/10, 90/11, 5/12,16/12, 86/12, 126/12, 94/13,152/14 , 07/17, 68/18, 98/19 i 64/20, 151/22 i 156/23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ustanovama (Narodne novine broj 76/93, 29/97,47/99, 35/08, 127/19 i 151/22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proračunu (Narodne novine 144/21), Pravilnik o proračunskim klasifikacijama ((Narodne novine broj 4/24), Pravilnik o proračunskom računovodstvu i računskom planu (Narodne novine broj 158/23), Zakon o fiskalnoj odgovornosti (Narodne novine broj 111/18, 83/23)</w:t>
            </w:r>
          </w:p>
          <w:p w:rsidR="002F4151" w:rsidRDefault="006E510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Podaci za izradu Odluke o izmjenama i dopunama Proračuna Osječko-baranjske županije za 2025. godinu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uspostavi institucionalnog okvira za korištenje strukturnih instrumenata Europske unije u Republici Hrvatskoj.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Pregled izvršenja rashoda po aktivnostima/projektima unutar programa: </w:t>
            </w:r>
          </w:p>
          <w:p w:rsidR="002F4151" w:rsidRDefault="002F4151">
            <w:pPr>
              <w:rPr>
                <w:szCs w:val="22"/>
              </w:rPr>
            </w:pP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2F4151">
              <w:trPr>
                <w:trHeight w:val="495"/>
              </w:trPr>
              <w:tc>
                <w:tcPr>
                  <w:tcW w:w="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2025.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1.-12.2025.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2F4151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A1207 04 ORGANIZACIJA I IZVOĐENJE NATJECANJA I SMOTRI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1.150,00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987,83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85,90%</w:t>
                  </w:r>
                </w:p>
              </w:tc>
            </w:tr>
            <w:tr w:rsidR="002F4151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SUFINANCIRANJE AKTIVNOSTI U ODGOJU I OBRAZOVANJU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275,00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78,57%</w:t>
                  </w:r>
                </w:p>
              </w:tc>
            </w:tr>
            <w:tr w:rsidR="002F4151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K1207 17 SUFINANCIRANJE OBAVEZNE ŠKOLSKE LEKTIRE U OSNOVNIM I SREDNJIM ŠKOLAMA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405,00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405,00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T120741 SAJAM ZANIMANJA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spacing w:line="36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T1207 31 EU PROJEKTI – UČIMO ZAJEDNO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18.400,00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12.119,13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spacing w:line="36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65,86%</w:t>
                  </w:r>
                </w:p>
              </w:tc>
            </w:tr>
            <w:tr w:rsidR="002F4151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6.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T1207 20 SHEMA - VOĆE, POVRĆE I MLIJEKO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3.100,00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1.738,99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56,10%</w:t>
                  </w:r>
                </w:p>
              </w:tc>
            </w:tr>
            <w:tr w:rsidR="002F4151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7.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CENTRI IZVRSNOSTI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33.430,00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31.199,37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93,33%</w:t>
                  </w:r>
                </w:p>
              </w:tc>
            </w:tr>
            <w:tr w:rsidR="002F4151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57.335,00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47.225,32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82,37%</w:t>
                  </w:r>
                </w:p>
              </w:tc>
            </w:tr>
          </w:tbl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Program 1207 – RAZVOJ ODGOJNO-OBRAZOVNOG SUSTAVA izvršen je u iznosu 47.225,32 eura ili 82,37% u odnosu na godišnji plan.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Aktivnosti i projekti izvršeni su u skladu sa planiranom dinamikom.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 A1207 04 ORGANIZACIJA I IZVOĐENJE NATJECANJA I SMOTRI izvršena je u cijelosti,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u ožujku je održano županijsko natjecanja iz Kemije.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Aktivnost A1207 49 SUFINANCIRANE AKTIVNOSTI U ODGOJU I OBRAZOVANJAU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Učenici škole su sudjelovali na Tehnicoolumu.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Aktivnost K1207 17 SUFINANCIRANJE OBAVEZNE ŠKOLSKE LEKTIRE U OSNOVNIM I SREDNJIM ŠKOLAMA  Aktivnost je realizirana.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Aktivnost T1207 41 SAJAM ZANIMANJA realizirana je odlaskom učenika škole na sajam zanimanja koji se održao u Gospodarskom centru Osječko-baranjske županije.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 T1207 31 EU PROJEKTI – UČIMO ZAJEDNO realizirana je osiguranjem pomoćnika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nastavi za jednog učenika škole s poteškoćama u razvoju.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 T1207 20 SHEMA - VOĆE, POVRĆE I MLIJEKO izvršava se u skladu s planiranom dinamikom projekta.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Tekući projekt T1207 22 CENTAR IZVRSNOSTI provodi se drugu školsku godinu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planiranom dinamikom kroz održavanje radionica iz kemije,  subotom za učenike 7. I 8. razreda osnovne škole i 1. i 2. razreda srednje škole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0"/>
              <w:gridCol w:w="1276"/>
              <w:gridCol w:w="1134"/>
              <w:gridCol w:w="1418"/>
            </w:tblGrid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2025.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Ostvarena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1.-12.2025.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škole uključenih u županijska i državna natjecanja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 Tehnicoolum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nabavljenih naslova lektire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 Sajam zanimanja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98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98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pomoćnika u nastavi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kojima je osigurano voće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396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Broj učenika uključenih u centar izvrsnosti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</w:t>
                  </w:r>
                </w:p>
              </w:tc>
            </w:tr>
          </w:tbl>
          <w:p w:rsidR="002F4151" w:rsidRDefault="006E510E">
            <w:pPr>
              <w:rPr>
                <w:b/>
                <w:i/>
                <w:caps/>
                <w:szCs w:val="22"/>
              </w:rPr>
            </w:pPr>
            <w:r>
              <w:rPr>
                <w:b/>
                <w:i/>
                <w:caps/>
                <w:szCs w:val="22"/>
              </w:rPr>
              <w:t xml:space="preserve"> </w:t>
            </w: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2F4151">
            <w:pPr>
              <w:rPr>
                <w:b/>
                <w:szCs w:val="22"/>
              </w:rPr>
            </w:pPr>
          </w:p>
          <w:p w:rsidR="002F4151" w:rsidRDefault="006E510E">
            <w:pPr>
              <w:rPr>
                <w:b/>
                <w:i/>
                <w:caps/>
                <w:szCs w:val="22"/>
              </w:rPr>
            </w:pPr>
            <w:r>
              <w:rPr>
                <w:b/>
                <w:szCs w:val="22"/>
              </w:rPr>
              <w:t>7007 FINANCIRANJE SREDNJEG ŠKOLSTVA PREMA MINIMALNOM STANDARDU</w:t>
            </w:r>
          </w:p>
          <w:p w:rsidR="002F4151" w:rsidRDefault="002F4151">
            <w:pPr>
              <w:rPr>
                <w:i/>
                <w:szCs w:val="22"/>
              </w:rPr>
            </w:pP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Srednjoškolski odgoj i obrazovanje učenika koje se ostvaruje kroz:</w:t>
            </w: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-poticanje i unapređivanje cjelovitog razvoja učenika u skladu s njegovim potrebama, sposobnostima i sklonostima,</w:t>
            </w: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-poticanje za sudjelovanje na sportskim aktivnostima, uključivanje kroz natjecanja na školskoj razini, županijskoj i državnoj razini,</w:t>
            </w: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-stručno usavršavanje nastavnika, sudjelovanje u radu stručnih vijeća i različitih povjerenstava, broj  nastavnika koji napreduju u zvanja,</w:t>
            </w: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-organiziranje zajedničkih aktivnosti učenika i nastavnika,</w:t>
            </w:r>
          </w:p>
          <w:p w:rsidR="002F4151" w:rsidRDefault="006E510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-uključivanje učenika u različite oblike rada i aktivnosti kojima se promiče i ostvaruje kreativnost, poduzetnost i inicijativnost.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Cilj programa: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-osiguravanje uvjeta za izvođenje obveznog programa na propisanoj razini te njegovo obuhvaćanje sadržajima po mjeri učenika.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-stvaranje kvalitetnih uvjeta za rad škole vodeći brigu o ravnomjernom razvoju koji će omogućiti izvođenje suvremene nastave te poboljšati standard postojeće školske zgrade i opreme. 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Samostalnim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Učenike se potiče na izražavanje u raznim područjima, širok je spektar izvannastavnih, ali i izvanškolskih aktivnosti čiju afirmaciju i održivost kod učenika također potičemo različitim oblicima podrške.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Kroz sredstva programa 7007 Financiranje srednjeg školstva prema minimalnom standardu cilj je financirati sve režijske troškove i troškove održavanja objekta (zgrada škole), usavršavati djelatnike za podizanje kvalitete nastave, osigurati sav potreban uredski materijal, osigurati nastavni materijal za strukovna zanimanja,  zdravstvene preglede zaposlenika.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odgoju i obrazovanju u osnovnoj i srednjoj školi (Narodne novine , br. 87/08, 86/09, 92/10, 105/11, 90/11, 5/12, 16/12, 86/12, 126/12, 94/13, 152/14, 7/17, 68/18, 98/19, 64/20, 151/22 i 156/23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 Zakona o ustanovama (Narodne novine br. 76/93, 29/97, 47/99, 35/08, 127/19, 151/22)</w:t>
            </w:r>
          </w:p>
          <w:p w:rsidR="002F4151" w:rsidRDefault="006E510E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Zakon o proračunu (Narodne novine broj 144/21, Pravilnik o proračunskim klasifikacijama (Narodne novine broj 4/24), Pravilnik o proračunskom računovodstvu i računskom planu (Narodne novine broj 158/23), Zakon o fiskalnoj odgovornosti (Narodne novine broj 111/18, 83/23)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Podaci za izradu Odluke o izmjenama i dopunama Proračuna Osječko-baranjske županije za 2025. godinu</w:t>
            </w:r>
            <w:r>
              <w:rPr>
                <w:szCs w:val="22"/>
              </w:rPr>
              <w:t xml:space="preserve">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Godišnji plan i program rada za školsku godinu 2024./2025. i školsku godinu 2025./2026.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Školski kurikulum Tehničke škole i prirodoslovne gimnazije Ruđera Boškovića za školsku godinu 2024./2025. i školsku godinu 2025./2026.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i/>
                <w:szCs w:val="22"/>
              </w:rPr>
            </w:pP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2F4151">
              <w:trPr>
                <w:trHeight w:val="495"/>
              </w:trPr>
              <w:tc>
                <w:tcPr>
                  <w:tcW w:w="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2025.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1.-12.2025.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2F4151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1.500,,00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49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2.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PLANSKO I HITNO ODRŽAVANJE OBJEKATA I OPREME SREDNJEG ŠKOLSTVA I UČENIČKIH DOMOVA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13.960,00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13.957,21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99,98%</w:t>
                  </w:r>
                </w:p>
              </w:tc>
            </w:tr>
            <w:tr w:rsidR="002F4151">
              <w:trPr>
                <w:trHeight w:val="49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34.604,00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34.604,00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4.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135.350,00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135.350,00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  <w:tr w:rsidR="002F4151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185.414,00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185.411,21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100,00%</w:t>
                  </w:r>
                </w:p>
              </w:tc>
            </w:tr>
          </w:tbl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/>
                <w:i/>
                <w:caps/>
                <w:szCs w:val="22"/>
              </w:rPr>
            </w:pPr>
            <w:r>
              <w:rPr>
                <w:szCs w:val="22"/>
              </w:rPr>
              <w:t xml:space="preserve">Program </w:t>
            </w:r>
            <w:r>
              <w:rPr>
                <w:bCs/>
                <w:szCs w:val="22"/>
              </w:rPr>
              <w:t>7007 FINANCIRANJE SREDNJEG ŠKOLSTVA PREMA MINIMALNOM STANDARDU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ostvaren je u iznosu od 185.411,21 eur ili 100,00 % u odnosu na godišnji plan.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Aktivnosti i projekti izvršeni su u skladu sa planiranom dinamikom.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Realizacijom programa ostvareni su sljedeći ciljevi: osigurani su uvjeti za izvođenje obveznog programa na propisanoj razini te njegovo obuhvaćanje sadržajima po mjeri učenika,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-stvaranje kvalitetnih uvjeta za rad škole vodeći brigu o ravnomjernom razvoju koji će omogućiti izvođenje suvremene nastave te poboljšati standard postojeće školske zgrade i opreme.  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5"/>
              <w:gridCol w:w="1276"/>
              <w:gridCol w:w="1276"/>
              <w:gridCol w:w="1134"/>
            </w:tblGrid>
            <w:tr w:rsidR="002F4151">
              <w:trPr>
                <w:cantSplit/>
                <w:trHeight w:val="946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Ostvarena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1.-12.2025.</w:t>
                  </w:r>
                </w:p>
              </w:tc>
            </w:tr>
            <w:tr w:rsidR="002F4151">
              <w:trPr>
                <w:cantSplit/>
                <w:trHeight w:val="65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Stručno usavršavanje djelatnika (broj seminara, simpozija, stručnih skupova)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30</w:t>
                  </w:r>
                </w:p>
              </w:tc>
            </w:tr>
            <w:tr w:rsidR="002F4151">
              <w:trPr>
                <w:cantSplit/>
                <w:trHeight w:val="37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Održavanje školske zgrade u stanju adekvatnom za odgoj i obrazovanje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2F4151">
              <w:trPr>
                <w:cantSplit/>
                <w:trHeight w:val="495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spacing w:after="160" w:line="259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23</w:t>
                  </w:r>
                </w:p>
              </w:tc>
            </w:tr>
          </w:tbl>
          <w:p w:rsidR="002F4151" w:rsidRDefault="002F4151">
            <w:pPr>
              <w:rPr>
                <w:bCs/>
                <w:szCs w:val="22"/>
              </w:rPr>
            </w:pPr>
          </w:p>
        </w:tc>
      </w:tr>
      <w:tr w:rsidR="002F4151">
        <w:trPr>
          <w:gridAfter w:val="1"/>
          <w:wAfter w:w="171" w:type="dxa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151" w:rsidRDefault="006E510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>
              <w:rPr>
                <w:rFonts w:ascii="Calibri" w:hAnsi="Calibri" w:cs="Calibri"/>
                <w:i w:val="0"/>
                <w:u w:val="none"/>
              </w:rPr>
              <w:lastRenderedPageBreak/>
              <w:t>NAZIV PROGRAMA: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OPIS PROGRAMA, OPĆI I POSEBNI CILJEVI: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ZAKONSKA OSNOVA ZA UVOĐENJE PROGRAMA:</w:t>
            </w: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6E51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IZVRŠENJE 1. – 12.2025.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 w:val="20"/>
              </w:rPr>
              <w:t>OBRAZLOŽENJE IZVRŠENJA PROGRAMA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POKAZATELJI</w:t>
            </w: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USPJEŠNOSTI</w:t>
            </w: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 w:val="20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2F4151">
            <w:pPr>
              <w:rPr>
                <w:bCs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4151" w:rsidRDefault="002F4151">
            <w:pPr>
              <w:rPr>
                <w:szCs w:val="22"/>
              </w:rPr>
            </w:pPr>
          </w:p>
        </w:tc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151" w:rsidRDefault="006E510E">
            <w:pPr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t>7011 FINANCIRANJE ŠKOLSTVA IZVAN ŽUPANIJSKOG PRORAČUNA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Djelatnost srednjoškolskog odgoja i obrazovanja ostvaruje se u skladu s odredbama Zakona o odgoju i obrazovanju u osnovnoj i srednjoj školi podzakonskim aktima (Pravilnicima), Zakona o ustanovama, naputcima savjetnika Agencije za odgoj i obrazovanje i Agencije za strukovno obrazovanje, odnosno voditelja Županijskih stručnih vijeća te Upravnog odjela za obrazovanje i mlade Osječko-baranjske županije.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rStyle w:val="A4"/>
                <w:szCs w:val="22"/>
              </w:rPr>
            </w:pPr>
            <w:r>
              <w:rPr>
                <w:szCs w:val="22"/>
              </w:rPr>
              <w:t xml:space="preserve">Izvorom financiranja 5410 cilj je osigurati plaće sa svim doprinosima za sve djelatnike škole. Osim toga, osigurani su dodaci u vidu božićnice,uskrsnice, regresa, dara djeci, otpremnina, pomoći za dugotrajno bolovanje i ostala propisana materijalna prava. U Školi se provode projekti u sklopu programa Erasmus +  u kojima je planirano stručno usavršavanje nastavnika i stručnih suradnika, a cilj je poticanje pozitivne školske klime kroz grupnu mobilnost učenika.  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Kroz izvor 3210 cilj je unaprjeđivati nastavu kroz pokriće materijalnih rashoda. Višak po izvoru 3210 predstavlja sredstva koja je škola ostvarila ranijih godina, a isti će se utrošiti za materijalne rashode i rashode za nabavu nefinancijske imovine.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Programom 7011 Škola također ostvaruje prihode iz izvora 4910 (Prihod za posebne namjene) koji obuhvaćaju prihode za sufinanciranje povećanih troškova obrazovanja u kozmetičkom usmjerenju.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Cilj je osigurati stručno i kvalitetno nastavno osoblje te ih poticati na daljnje usavršavanje kroz edukacije i cjeloživotno učenje, sudjelovanje u radu stručnih vijeća i različitih povjerenstava i poticati napredovanja u zvanja.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Poticat će se različite aktivnosti vezane uz obilježavanje brojnih datuma, u Republici Hrvatskoj i Osječko-baranjskoj županiji. Osim navedenih projektnih mogućnosti, nastavnike potičemo na potrebu stalnog stručnog usavršavanja. Neke oblike i sami organiziramo u okviru Nastavničkog i stručnih vijeća, a na neke usmjeravamo, prije svih na one koje organizira i provodi Agencija za odgoj i obrazovanje i Agencija za strukovno obrazovanje. Pokazatelje uspješnosti provjeravat ćemo stalnim praćenjem i mjerenjem te rezultatima koje učenici ostvaruju na državnoj i probnoj maturi, na natjecanjima i smotrama, ali i uspješnost njihova upisa na visokoškolske ustanove.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Zakonska osnova za provođenje programa: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odgoju i obrazovanju u osnovnoj i srednjoj školi (Narodne novine broj 87/08, 86/09, 92/10,105/10, 90/11, 5/12,16/12, 86/12, 126/12, 94/13,152/14 , 07/17, 68/18, 98/19, 64/20, 151/22, 156/23)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ustanovama (Narodne novine broj 76/93, 29/97,47/99, 35/08 i 127/19, 151/22)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Zakon o proračunu (Narodne novine broj 144/21), Pravilnik o proračunskim klasifikacijama (Narodne novine broj 4/24) Pravilnik o proračunskom računovodstvu i računskom planu (Narodne novine broj 158/23), Zakon o fiskalnoj odgovornosti (Narodne novine broj 111/18, 83/23)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Podaci za izradu Odluke o izmjenama i dopunama Proračuna Osječko-baranjske županije za 2025. godinu</w:t>
            </w:r>
            <w:r>
              <w:rPr>
                <w:szCs w:val="22"/>
              </w:rPr>
              <w:t xml:space="preserve">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2F4151">
              <w:trPr>
                <w:trHeight w:val="540"/>
              </w:trPr>
              <w:tc>
                <w:tcPr>
                  <w:tcW w:w="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R.br. </w:t>
                  </w:r>
                </w:p>
              </w:tc>
              <w:tc>
                <w:tcPr>
                  <w:tcW w:w="3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2025.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1.-12.2025.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2F4151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A7011 02 VLASTITI PRIHODI - SREDNJE ŠKOLSTVO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2.129.698,00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2.075.353,41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97,45%</w:t>
                  </w:r>
                </w:p>
              </w:tc>
            </w:tr>
            <w:tr w:rsidR="002F4151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2.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3210 VLASTITI PRIHODI - PRORAČUNSKI KORISNICI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29.621,00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21.168,28.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    71,46%</w:t>
                  </w:r>
                </w:p>
              </w:tc>
            </w:tr>
            <w:tr w:rsidR="002F4151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3.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5410 POMOĆI - KORISNICI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2.018.153,00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1.972.316,64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97,73%</w:t>
                  </w:r>
                </w:p>
              </w:tc>
            </w:tr>
            <w:tr w:rsidR="002F4151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4.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6210 UGOVORI DONACIJE - KORISNICI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4.000,00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  3.390,00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84,75%</w:t>
                  </w:r>
                </w:p>
              </w:tc>
            </w:tr>
            <w:tr w:rsidR="002F4151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F4151" w:rsidRDefault="006E510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PRIHODI OD PRODAJE PROIZVEDENE DUGOTRAJNE IMOVINE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77.924,00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77.924,00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F4151" w:rsidRDefault="006E510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</w:tr>
            <w:tr w:rsidR="002F4151">
              <w:trPr>
                <w:trHeight w:val="55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F4151" w:rsidRDefault="006E510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2.129.698,00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     2.075.353,41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4151" w:rsidRDefault="006E510E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97,45%</w:t>
                  </w:r>
                </w:p>
              </w:tc>
            </w:tr>
          </w:tbl>
          <w:p w:rsidR="002F4151" w:rsidRDefault="002F4151">
            <w:pPr>
              <w:rPr>
                <w:bCs/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Program </w:t>
            </w:r>
            <w:r>
              <w:rPr>
                <w:bCs/>
                <w:szCs w:val="22"/>
              </w:rPr>
              <w:t xml:space="preserve">7011 FINANCIRANJE ŠKOLSTVA IZVAN ŽUPANIJSKOG PRORAČUNA </w:t>
            </w:r>
            <w:r>
              <w:rPr>
                <w:szCs w:val="22"/>
              </w:rPr>
              <w:t>ostvaren je u iznosu od 2.075.353,41 eur ili 97,45% u odnosu na godišnji plan.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Aktivnosti i projekti izvršeni su u skladu sa planiranom dinamikom. </w:t>
            </w:r>
          </w:p>
          <w:p w:rsidR="002F4151" w:rsidRDefault="002F4151">
            <w:pPr>
              <w:rPr>
                <w:szCs w:val="22"/>
              </w:rPr>
            </w:pPr>
          </w:p>
          <w:p w:rsidR="002F4151" w:rsidRDefault="002F4151">
            <w:pPr>
              <w:rPr>
                <w:szCs w:val="22"/>
              </w:rPr>
            </w:pP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 xml:space="preserve">Realizacijom programa ostvareni su sljedeći ciljevi: </w:t>
            </w:r>
          </w:p>
          <w:p w:rsidR="002F4151" w:rsidRDefault="006E510E">
            <w:pPr>
              <w:rPr>
                <w:szCs w:val="22"/>
              </w:rPr>
            </w:pPr>
            <w:r>
              <w:rPr>
                <w:szCs w:val="22"/>
              </w:rPr>
              <w:t>-stručno i kvalitetno nastavno osoblje koje se potiče na daljnje usavršavanje kroz edukacije i cjeloživotno učenje, sudjelovanje u radu stručnih vijeća i različitih povjerenstava te napredovanja u zvanja.</w:t>
            </w:r>
          </w:p>
          <w:p w:rsidR="002F4151" w:rsidRDefault="006E510E">
            <w:pPr>
              <w:rPr>
                <w:bCs/>
                <w:szCs w:val="22"/>
              </w:rPr>
            </w:pPr>
            <w:r>
              <w:rPr>
                <w:szCs w:val="22"/>
              </w:rPr>
              <w:t>-održane su aktivnosti vezane uz obilježavanje brojnih datuma i projektnih mogućnosti, nastavnike potičemo na potrebu stalnog stručnog usavršavanja. Neke oblike i sami organiziramo u okviru Nastavničkog i stručnih vijeća, a na neke usmjeravamo, prije svih na one koje organizira i provodi Agencija za odgoj i obrazovanje i Agencija za strukovno obrazovanje.</w:t>
            </w:r>
          </w:p>
          <w:p w:rsidR="002F4151" w:rsidRDefault="002F4151">
            <w:pPr>
              <w:rPr>
                <w:bCs/>
                <w:i/>
                <w:szCs w:val="22"/>
              </w:rPr>
            </w:pPr>
          </w:p>
          <w:p w:rsidR="002F4151" w:rsidRDefault="002F4151">
            <w:pPr>
              <w:rPr>
                <w:color w:val="222222"/>
                <w:szCs w:val="22"/>
                <w:shd w:val="clear" w:color="auto" w:fill="FFFFFF"/>
              </w:rPr>
            </w:pPr>
          </w:p>
          <w:p w:rsidR="002F4151" w:rsidRDefault="002F4151">
            <w:pPr>
              <w:rPr>
                <w:color w:val="222222"/>
                <w:szCs w:val="22"/>
                <w:shd w:val="clear" w:color="auto" w:fill="FFFFFF"/>
              </w:rPr>
            </w:pPr>
          </w:p>
          <w:p w:rsidR="002F4151" w:rsidRDefault="002F4151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0"/>
              <w:gridCol w:w="1134"/>
              <w:gridCol w:w="1418"/>
              <w:gridCol w:w="1276"/>
            </w:tblGrid>
            <w:tr w:rsidR="002F4151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2025.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Ostvarena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:rsidR="002F4151" w:rsidRDefault="006E510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1.-12.2025.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nastavnika/stručnih suradnika uključenih u projekte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projekte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85</w:t>
                  </w:r>
                </w:p>
              </w:tc>
            </w:tr>
            <w:tr w:rsidR="002F4151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151" w:rsidRDefault="006E510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4151" w:rsidRDefault="006E51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:rsidR="002F4151" w:rsidRDefault="002F4151">
            <w:pPr>
              <w:rPr>
                <w:bCs/>
                <w:szCs w:val="22"/>
              </w:rPr>
            </w:pPr>
          </w:p>
        </w:tc>
      </w:tr>
    </w:tbl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2F4151">
      <w:pPr>
        <w:pStyle w:val="Podnoje"/>
        <w:rPr>
          <w:rFonts w:ascii="Calibri" w:hAnsi="Calibri" w:cs="Calibri"/>
          <w:sz w:val="22"/>
          <w:szCs w:val="22"/>
        </w:rPr>
      </w:pPr>
    </w:p>
    <w:p w:rsidR="002F4151" w:rsidRDefault="006E510E">
      <w:pPr>
        <w:pStyle w:val="Bezproreda1"/>
        <w:rPr>
          <w:rFonts w:cs="Calibri"/>
          <w:b/>
        </w:rPr>
      </w:pPr>
      <w:r>
        <w:rPr>
          <w:rFonts w:cs="Calibri"/>
          <w:b/>
        </w:rPr>
        <w:t>POSEBNI IZVJEŠTAJI U GODIŠNJEM IZVJEŠTAJU O IZVRŠENJU FINANCIJSKOG PLANA</w:t>
      </w:r>
    </w:p>
    <w:p w:rsidR="002F4151" w:rsidRDefault="002F4151">
      <w:pPr>
        <w:pStyle w:val="Bezproreda1"/>
        <w:rPr>
          <w:rFonts w:cs="Calibri"/>
        </w:rPr>
      </w:pPr>
    </w:p>
    <w:p w:rsidR="002F4151" w:rsidRDefault="006E510E">
      <w:pPr>
        <w:pStyle w:val="000012"/>
        <w:spacing w:before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Škola nema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zaduživanja na domaćem i stranom tržištu novca i kapitala u izvještajnom razdoblju.</w:t>
      </w: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 xml:space="preserve">Iznos nenaplaćenih dospjelih potraživanja za vlastite prihode na dan 31.12.2025. godine iznosi 448,00 eur.  </w:t>
      </w:r>
    </w:p>
    <w:p w:rsidR="002F4151" w:rsidRDefault="006E510E">
      <w:pPr>
        <w:pStyle w:val="Bezproreda1"/>
        <w:spacing w:line="276" w:lineRule="auto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 xml:space="preserve">Potraživanja se odnose na najam kantine za 12/2025. u iznosu 250,00 eur i najam sportske dvorane </w:t>
      </w:r>
    </w:p>
    <w:p w:rsidR="002F4151" w:rsidRDefault="006E510E">
      <w:pPr>
        <w:pStyle w:val="Bezproreda1"/>
        <w:spacing w:line="276" w:lineRule="auto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u iznosu 198,00 eur.</w:t>
      </w:r>
    </w:p>
    <w:p w:rsidR="002F4151" w:rsidRDefault="006E510E">
      <w:pPr>
        <w:pStyle w:val="Bezproreda1"/>
        <w:spacing w:line="276" w:lineRule="auto"/>
        <w:jc w:val="both"/>
        <w:rPr>
          <w:rStyle w:val="Neupadljivoisticanje1"/>
          <w:i w:val="0"/>
          <w:iCs w:val="0"/>
        </w:rPr>
      </w:pPr>
      <w:r>
        <w:rPr>
          <w:rStyle w:val="Neupadljivoisticanje1"/>
          <w:i w:val="0"/>
          <w:iCs w:val="0"/>
        </w:rPr>
        <w:t>Škola nema dospjelih obveza.</w:t>
      </w:r>
    </w:p>
    <w:p w:rsidR="002F4151" w:rsidRDefault="006E510E">
      <w:pPr>
        <w:pStyle w:val="Bezproreda1"/>
        <w:spacing w:line="276" w:lineRule="auto"/>
        <w:jc w:val="both"/>
        <w:rPr>
          <w:color w:val="404040"/>
        </w:rPr>
      </w:pPr>
      <w:r>
        <w:rPr>
          <w:rStyle w:val="Neupadljivoisticanje1"/>
          <w:i w:val="0"/>
          <w:iCs w:val="0"/>
        </w:rPr>
        <w:t>Škola nema potencijalnih sudskih sporova u statusu tužitelja niti u statusu tuženika.</w:t>
      </w:r>
    </w:p>
    <w:p w:rsidR="002F4151" w:rsidRDefault="006E510E">
      <w:pPr>
        <w:pStyle w:val="Bezproreda1"/>
        <w:rPr>
          <w:rFonts w:cs="Calibri"/>
        </w:rPr>
      </w:pPr>
      <w:r>
        <w:rPr>
          <w:rFonts w:cs="Calibri"/>
        </w:rPr>
        <w:t>Tijekom 2025. godine provodila su se četiri projekta: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KA152 Let's Get Critical (15 učenika i 2 nastavnika)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Znanje + kreativnost = inspiracija (30 učenika i 5 nastavnika)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Iskrica (2 nastavnika)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Stem-anje.com ( 2 nastavnika i 20 učenika)</w:t>
      </w:r>
    </w:p>
    <w:p w:rsidR="002F4151" w:rsidRDefault="002F4151">
      <w:pPr>
        <w:pStyle w:val="Bezproreda1"/>
        <w:ind w:left="720"/>
        <w:rPr>
          <w:rFonts w:cs="Calibri"/>
        </w:rPr>
      </w:pPr>
    </w:p>
    <w:p w:rsidR="002F4151" w:rsidRDefault="006E510E">
      <w:pPr>
        <w:pStyle w:val="Bezproreda1"/>
        <w:rPr>
          <w:rFonts w:cs="Calibri"/>
        </w:rPr>
      </w:pPr>
      <w:r>
        <w:rPr>
          <w:rFonts w:cs="Calibri"/>
        </w:rPr>
        <w:t xml:space="preserve"> Tijekom 2025. godine koristila su se sredstva već provedenih projekata: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Projekt United (1.405,00 eur)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KA229 Pokreni svoj biznis LMOOB (3.296,72 eur)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KA229 Kulturne vrijednosti (1.350,00 eur)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KA229 Održiva kultura hrane (1.000,00 eur)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KA229 Moj njemački je dobar – hrabro ga govorim (1.249,83 eur)</w:t>
      </w:r>
    </w:p>
    <w:p w:rsidR="002F4151" w:rsidRDefault="006E510E">
      <w:pPr>
        <w:pStyle w:val="Bezproreda1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Erasmus+ KA220 Digitalizirane škole (557,52 eur)</w:t>
      </w:r>
    </w:p>
    <w:p w:rsidR="002F4151" w:rsidRDefault="002F4151">
      <w:pPr>
        <w:pStyle w:val="Bezproreda1"/>
        <w:ind w:left="720"/>
        <w:rPr>
          <w:rFonts w:cs="Calibri"/>
        </w:rPr>
      </w:pPr>
    </w:p>
    <w:p w:rsidR="002F4151" w:rsidRDefault="006E510E">
      <w:pPr>
        <w:pStyle w:val="Bezproreda1"/>
        <w:rPr>
          <w:rFonts w:cs="Calibri"/>
        </w:rPr>
      </w:pPr>
      <w:r>
        <w:rPr>
          <w:rFonts w:ascii="Arial" w:eastAsiaTheme="minorHAnsi" w:hAnsi="Arial" w:cs="Arial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2F4151" w:rsidRDefault="006E510E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             </w:t>
      </w:r>
    </w:p>
    <w:p w:rsidR="002F4151" w:rsidRDefault="002F4151">
      <w:pPr>
        <w:pStyle w:val="Default"/>
        <w:rPr>
          <w:rFonts w:eastAsiaTheme="minorHAnsi"/>
          <w:color w:val="auto"/>
        </w:rPr>
      </w:pPr>
    </w:p>
    <w:p w:rsidR="002F4151" w:rsidRDefault="002F4151">
      <w:pPr>
        <w:pStyle w:val="Bezproreda1"/>
        <w:rPr>
          <w:rFonts w:cs="Calibri"/>
        </w:rPr>
      </w:pPr>
    </w:p>
    <w:p w:rsidR="002F4151" w:rsidRDefault="002F4151">
      <w:pPr>
        <w:pStyle w:val="Bezproreda1"/>
        <w:rPr>
          <w:rFonts w:cs="Calibri"/>
        </w:rPr>
      </w:pPr>
    </w:p>
    <w:p w:rsidR="002F4151" w:rsidRDefault="002F4151">
      <w:pPr>
        <w:pStyle w:val="Bezproreda1"/>
        <w:rPr>
          <w:rFonts w:cs="Calibri"/>
        </w:rPr>
      </w:pPr>
    </w:p>
    <w:p w:rsidR="002F4151" w:rsidRDefault="002F4151">
      <w:pPr>
        <w:pStyle w:val="Bezproreda1"/>
        <w:rPr>
          <w:rFonts w:cs="Calibri"/>
        </w:rPr>
      </w:pPr>
    </w:p>
    <w:p w:rsidR="002F4151" w:rsidRDefault="006E510E">
      <w:pPr>
        <w:pStyle w:val="Bezproreda1"/>
        <w:rPr>
          <w:rFonts w:cs="Calibri"/>
        </w:rPr>
      </w:pPr>
      <w:r>
        <w:rPr>
          <w:rFonts w:cs="Calibri"/>
        </w:rPr>
        <w:t>Osijek, 27. ožujka 2026.</w:t>
      </w:r>
    </w:p>
    <w:p w:rsidR="002F4151" w:rsidRDefault="006E510E">
      <w:pPr>
        <w:pStyle w:val="Bezproreda1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Ravnateljica</w:t>
      </w:r>
    </w:p>
    <w:p w:rsidR="002F4151" w:rsidRDefault="006E510E">
      <w:pPr>
        <w:rPr>
          <w:szCs w:val="22"/>
        </w:rPr>
      </w:pPr>
      <w:r>
        <w:rPr>
          <w:szCs w:val="22"/>
        </w:rPr>
        <w:t xml:space="preserve">                  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Nada Pitinac, dipl.inž.</w:t>
      </w:r>
    </w:p>
    <w:p w:rsidR="002F4151" w:rsidRDefault="002F4151">
      <w:pPr>
        <w:jc w:val="center"/>
        <w:rPr>
          <w:szCs w:val="22"/>
        </w:rPr>
      </w:pPr>
    </w:p>
    <w:p w:rsidR="002F4151" w:rsidRDefault="00E630C1">
      <w:pPr>
        <w:tabs>
          <w:tab w:val="left" w:pos="252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E42777" wp14:editId="1CCAA266">
            <wp:simplePos x="0" y="0"/>
            <wp:positionH relativeFrom="column">
              <wp:posOffset>3524250</wp:posOffset>
            </wp:positionH>
            <wp:positionV relativeFrom="paragraph">
              <wp:posOffset>76200</wp:posOffset>
            </wp:positionV>
            <wp:extent cx="162306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96" y="21413"/>
                <wp:lineTo x="2129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F4151">
      <w:headerReference w:type="default" r:id="rId10"/>
      <w:footerReference w:type="default" r:id="rId11"/>
      <w:pgSz w:w="11908" w:h="16833"/>
      <w:pgMar w:top="720" w:right="720" w:bottom="720" w:left="907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1E" w:rsidRDefault="00CE4C1E">
      <w:r>
        <w:separator/>
      </w:r>
    </w:p>
  </w:endnote>
  <w:endnote w:type="continuationSeparator" w:id="0">
    <w:p w:rsidR="00CE4C1E" w:rsidRDefault="00CE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51" w:rsidRDefault="002F4151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1E" w:rsidRDefault="00CE4C1E">
      <w:r>
        <w:separator/>
      </w:r>
    </w:p>
  </w:footnote>
  <w:footnote w:type="continuationSeparator" w:id="0">
    <w:p w:rsidR="00CE4C1E" w:rsidRDefault="00CE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51" w:rsidRDefault="002F4151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8726A"/>
    <w:multiLevelType w:val="multilevel"/>
    <w:tmpl w:val="2E668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87A98"/>
    <w:multiLevelType w:val="multilevel"/>
    <w:tmpl w:val="581C8FB4"/>
    <w:lvl w:ilvl="0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51"/>
    <w:rsid w:val="002F4151"/>
    <w:rsid w:val="006E510E"/>
    <w:rsid w:val="00CC66A6"/>
    <w:rsid w:val="00CE4C1E"/>
    <w:rsid w:val="00E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DE7B0-0718-45B8-8630-AE928FB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both"/>
      <w:outlineLvl w:val="0"/>
    </w:pPr>
    <w:rPr>
      <w:rFonts w:ascii="Times New Roman" w:eastAsia="Times New Roman" w:hAnsi="Times New Roman" w:cs="Times New Roman"/>
      <w:i/>
      <w:iCs/>
      <w:sz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/>
      <w:kern w:val="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/>
      <w:kern w:val="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qFormat/>
    <w:pPr>
      <w:keepNext/>
      <w:jc w:val="center"/>
      <w:outlineLvl w:val="6"/>
    </w:pPr>
    <w:rPr>
      <w:rFonts w:ascii="Arial" w:eastAsia="Times New Roman" w:hAnsi="Arial" w:cs="Arial"/>
      <w:b/>
      <w:bCs/>
      <w:sz w:val="18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0">
    <w:name w:val="ParagraphStyle0"/>
    <w:pPr>
      <w:spacing w:before="28" w:after="28"/>
      <w:ind w:left="572" w:right="572"/>
      <w:jc w:val="center"/>
    </w:pPr>
  </w:style>
  <w:style w:type="paragraph" w:customStyle="1" w:styleId="ParagraphStyle1">
    <w:name w:val="ParagraphStyle1"/>
    <w:pPr>
      <w:ind w:left="28" w:right="28"/>
      <w:jc w:val="center"/>
    </w:pPr>
  </w:style>
  <w:style w:type="paragraph" w:customStyle="1" w:styleId="ParagraphStyle2">
    <w:name w:val="ParagraphStyle2"/>
    <w:pPr>
      <w:ind w:left="28" w:right="28"/>
      <w:jc w:val="center"/>
    </w:pPr>
  </w:style>
  <w:style w:type="paragraph" w:customStyle="1" w:styleId="ParagraphStyle3">
    <w:name w:val="ParagraphStyle3"/>
    <w:pPr>
      <w:ind w:left="28" w:right="28"/>
      <w:jc w:val="center"/>
    </w:pPr>
  </w:style>
  <w:style w:type="paragraph" w:customStyle="1" w:styleId="ParagraphStyle4">
    <w:name w:val="ParagraphStyle4"/>
    <w:pPr>
      <w:ind w:left="28" w:right="28"/>
      <w:jc w:val="center"/>
    </w:pPr>
  </w:style>
  <w:style w:type="paragraph" w:customStyle="1" w:styleId="ParagraphStyle5">
    <w:name w:val="ParagraphStyle5"/>
    <w:pPr>
      <w:ind w:left="28" w:right="28"/>
      <w:jc w:val="center"/>
    </w:pPr>
  </w:style>
  <w:style w:type="paragraph" w:customStyle="1" w:styleId="ParagraphStyle6">
    <w:name w:val="ParagraphStyle6"/>
    <w:pPr>
      <w:ind w:left="28" w:right="28"/>
      <w:jc w:val="center"/>
    </w:pPr>
  </w:style>
  <w:style w:type="paragraph" w:customStyle="1" w:styleId="ParagraphStyle7">
    <w:name w:val="ParagraphStyle7"/>
    <w:pPr>
      <w:ind w:left="28" w:right="28"/>
    </w:pPr>
  </w:style>
  <w:style w:type="paragraph" w:customStyle="1" w:styleId="ParagraphStyle8">
    <w:name w:val="ParagraphStyle8"/>
    <w:pPr>
      <w:ind w:left="28" w:right="28"/>
      <w:jc w:val="right"/>
    </w:pPr>
  </w:style>
  <w:style w:type="paragraph" w:customStyle="1" w:styleId="ParagraphStyle9">
    <w:name w:val="ParagraphStyle9"/>
    <w:pPr>
      <w:ind w:left="28" w:right="28"/>
      <w:jc w:val="right"/>
    </w:pPr>
  </w:style>
  <w:style w:type="paragraph" w:customStyle="1" w:styleId="ParagraphStyle10">
    <w:name w:val="ParagraphStyle10"/>
    <w:pPr>
      <w:ind w:left="28" w:right="28"/>
    </w:pPr>
  </w:style>
  <w:style w:type="paragraph" w:customStyle="1" w:styleId="ParagraphStyle11">
    <w:name w:val="ParagraphStyle11"/>
    <w:pPr>
      <w:ind w:left="28" w:right="28"/>
      <w:jc w:val="right"/>
    </w:pPr>
  </w:style>
  <w:style w:type="paragraph" w:customStyle="1" w:styleId="ParagraphStyle12">
    <w:name w:val="ParagraphStyle12"/>
    <w:pPr>
      <w:ind w:left="28" w:right="28"/>
      <w:jc w:val="right"/>
    </w:pPr>
  </w:style>
  <w:style w:type="paragraph" w:customStyle="1" w:styleId="ParagraphStyle13">
    <w:name w:val="ParagraphStyle13"/>
    <w:pPr>
      <w:ind w:left="28" w:right="28"/>
    </w:pPr>
  </w:style>
  <w:style w:type="paragraph" w:customStyle="1" w:styleId="ParagraphStyle14">
    <w:name w:val="ParagraphStyle14"/>
    <w:pPr>
      <w:ind w:left="28" w:right="28"/>
      <w:jc w:val="right"/>
    </w:pPr>
  </w:style>
  <w:style w:type="paragraph" w:customStyle="1" w:styleId="ParagraphStyle15">
    <w:name w:val="ParagraphStyle15"/>
    <w:pPr>
      <w:ind w:left="28" w:right="28"/>
      <w:jc w:val="right"/>
    </w:pPr>
  </w:style>
  <w:style w:type="paragraph" w:customStyle="1" w:styleId="ParagraphStyle16">
    <w:name w:val="ParagraphStyle16"/>
    <w:pPr>
      <w:ind w:left="28" w:right="28"/>
    </w:pPr>
  </w:style>
  <w:style w:type="paragraph" w:customStyle="1" w:styleId="ParagraphStyle17">
    <w:name w:val="ParagraphStyle17"/>
    <w:pPr>
      <w:ind w:left="28" w:right="28"/>
    </w:pPr>
  </w:style>
  <w:style w:type="paragraph" w:customStyle="1" w:styleId="ParagraphStyle18">
    <w:name w:val="ParagraphStyle18"/>
    <w:pPr>
      <w:ind w:left="28" w:right="28"/>
      <w:jc w:val="right"/>
    </w:pPr>
  </w:style>
  <w:style w:type="paragraph" w:customStyle="1" w:styleId="ParagraphStyle19">
    <w:name w:val="ParagraphStyle19"/>
    <w:pPr>
      <w:ind w:left="28" w:right="28"/>
      <w:jc w:val="right"/>
    </w:pPr>
  </w:style>
  <w:style w:type="paragraph" w:customStyle="1" w:styleId="ParagraphStyle20">
    <w:name w:val="ParagraphStyle20"/>
    <w:pPr>
      <w:ind w:left="28" w:right="28"/>
      <w:jc w:val="both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FakeCharacterStyle">
    <w:name w:val="FakeCharacterStyle"/>
    <w:basedOn w:val="Zadanifontodlomka"/>
    <w:rPr>
      <w:sz w:val="1"/>
      <w:szCs w:val="1"/>
    </w:rPr>
  </w:style>
  <w:style w:type="character" w:customStyle="1" w:styleId="CharacterStyle0">
    <w:name w:val="CharacterStyle0"/>
    <w:basedOn w:val="Zadanifontodlomka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basedOn w:val="Zadanifontodlomka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basedOn w:val="Zadanifontodlomka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basedOn w:val="Zadanifontodlomka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basedOn w:val="Zadanifontodlomka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i/>
      <w:iCs/>
      <w:sz w:val="20"/>
      <w:u w:val="single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Times New Roman" w:hAnsi="Arial" w:cs="Arial"/>
      <w:b/>
      <w:bCs/>
      <w:sz w:val="18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jc w:val="both"/>
    </w:pPr>
    <w:rPr>
      <w:rFonts w:ascii="Times New Roman" w:hAnsi="Times New Roman" w:cs="Times New Roman"/>
      <w:sz w:val="24"/>
      <w:lang w:eastAsia="en-US"/>
    </w:rPr>
  </w:style>
  <w:style w:type="character" w:customStyle="1" w:styleId="PodnojeChar">
    <w:name w:val="Podnožje Char"/>
    <w:basedOn w:val="Zadanifontodlomka"/>
    <w:rPr>
      <w:rFonts w:ascii="Times New Roman" w:hAnsi="Times New Roman" w:cs="Times New Roman"/>
      <w:sz w:val="24"/>
      <w:lang w:eastAsia="en-US"/>
    </w:rPr>
  </w:style>
  <w:style w:type="paragraph" w:customStyle="1" w:styleId="Bezproreda1">
    <w:name w:val="Bez proreda1"/>
    <w:uiPriority w:val="1"/>
    <w:qFormat/>
    <w:rPr>
      <w:rFonts w:eastAsia="Times New Roman" w:cs="Times New Roman"/>
      <w:szCs w:val="22"/>
      <w:lang w:eastAsia="en-US"/>
    </w:rPr>
  </w:style>
  <w:style w:type="character" w:customStyle="1" w:styleId="A4">
    <w:name w:val="A4"/>
    <w:basedOn w:val="Zadanifontodlomka"/>
    <w:uiPriority w:val="99"/>
    <w:rPr>
      <w:color w:val="000000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404040"/>
    </w:rPr>
  </w:style>
  <w:style w:type="paragraph" w:customStyle="1" w:styleId="000012">
    <w:name w:val="000012"/>
    <w:basedOn w:val="Normal"/>
    <w:pPr>
      <w:shd w:val="clear" w:color="auto" w:fill="FFFFFF"/>
      <w:spacing w:before="100" w:beforeAutospacing="1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danifontodlomka-000006">
    <w:name w:val="zadanifontodlomka-000006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365F91"/>
      <w:kern w:val="2"/>
      <w:sz w:val="32"/>
      <w:szCs w:val="32"/>
      <w:lang w:eastAsia="en-US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365F91"/>
      <w:kern w:val="2"/>
      <w:sz w:val="28"/>
      <w:szCs w:val="28"/>
      <w:lang w:eastAsia="en-US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365F91"/>
      <w:kern w:val="2"/>
      <w:szCs w:val="22"/>
      <w:lang w:eastAsia="en-US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inorHAnsi" w:eastAsiaTheme="majorEastAsia" w:hAnsiTheme="minorHAnsi" w:cstheme="majorBidi"/>
      <w:color w:val="365F91"/>
      <w:kern w:val="2"/>
      <w:szCs w:val="22"/>
      <w:lang w:eastAsia="en-US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inorHAnsi" w:eastAsiaTheme="majorEastAsia" w:hAnsiTheme="minorHAnsi" w:cstheme="majorBidi"/>
      <w:i/>
      <w:iCs/>
      <w:color w:val="595959"/>
      <w:kern w:val="2"/>
      <w:szCs w:val="22"/>
      <w:lang w:eastAsia="en-US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inorHAnsi" w:eastAsiaTheme="majorEastAsia" w:hAnsiTheme="minorHAnsi" w:cstheme="majorBidi"/>
      <w:i/>
      <w:iCs/>
      <w:color w:val="272727"/>
      <w:kern w:val="2"/>
      <w:szCs w:val="22"/>
      <w:lang w:eastAsia="en-US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inorHAnsi" w:eastAsiaTheme="majorEastAsia" w:hAnsiTheme="minorHAnsi" w:cstheme="majorBidi"/>
      <w:color w:val="272727"/>
      <w:kern w:val="2"/>
      <w:szCs w:val="22"/>
      <w:lang w:eastAsia="en-US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rFonts w:asciiTheme="minorHAnsi" w:eastAsiaTheme="minorHAnsi" w:hAnsiTheme="minorHAnsi" w:cstheme="minorBidi"/>
      <w:i/>
      <w:iCs/>
      <w:color w:val="404040"/>
      <w:kern w:val="2"/>
      <w:szCs w:val="22"/>
      <w:lang w:eastAsia="en-US"/>
      <w14:ligatures w14:val="standardContextual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365F9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/>
      <w:kern w:val="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uiPriority w:val="30"/>
    <w:rPr>
      <w:rFonts w:asciiTheme="minorHAnsi" w:eastAsiaTheme="minorHAnsi" w:hAnsiTheme="minorHAnsi" w:cstheme="minorBidi"/>
      <w:i/>
      <w:iCs/>
      <w:color w:val="365F91"/>
      <w:kern w:val="2"/>
      <w:szCs w:val="22"/>
      <w:lang w:eastAsia="en-US"/>
      <w14:ligatures w14:val="standardContextual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365F91"/>
      <w:spacing w:val="5"/>
    </w:rPr>
  </w:style>
  <w:style w:type="paragraph" w:customStyle="1" w:styleId="Default">
    <w:name w:val="Default"/>
    <w:pPr>
      <w:suppressAutoHyphens/>
      <w:autoSpaceDN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E468-287A-495E-B6BE-A05BF563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7080</Words>
  <Characters>40359</Characters>
  <Application>Microsoft Office Word</Application>
  <DocSecurity>0</DocSecurity>
  <Lines>336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ŠkolaRB</dc:creator>
  <cp:lastModifiedBy>rb2</cp:lastModifiedBy>
  <cp:revision>2</cp:revision>
  <cp:lastPrinted>2026-03-27T13:05:00Z</cp:lastPrinted>
  <dcterms:created xsi:type="dcterms:W3CDTF">2026-03-31T09:10:00Z</dcterms:created>
  <dcterms:modified xsi:type="dcterms:W3CDTF">2026-03-31T09:10:00Z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